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8A24" w14:textId="7CE0BE72" w:rsidR="004B303D" w:rsidRDefault="0091218A" w:rsidP="003E11D8">
      <w:pPr>
        <w:spacing w:line="240" w:lineRule="auto"/>
        <w:contextualSpacing/>
        <w:rPr>
          <w:rFonts w:cs="Arial"/>
        </w:rPr>
      </w:pPr>
      <w:r>
        <w:rPr>
          <w:rStyle w:val="Heading1Char"/>
          <w:color w:val="auto"/>
        </w:rPr>
        <w:t>Nye metoder: Innspill til</w:t>
      </w:r>
      <w:r w:rsidR="003E11D8" w:rsidRPr="00815484">
        <w:rPr>
          <w:rStyle w:val="Heading1Char"/>
          <w:color w:val="auto"/>
        </w:rPr>
        <w:t xml:space="preserve"> </w:t>
      </w:r>
      <w:r w:rsidR="002E4930">
        <w:rPr>
          <w:rStyle w:val="Heading1Char"/>
          <w:color w:val="auto"/>
        </w:rPr>
        <w:t>metoder (</w:t>
      </w:r>
      <w:r w:rsidR="003E11D8" w:rsidRPr="00815484">
        <w:rPr>
          <w:rStyle w:val="Heading1Char"/>
          <w:rFonts w:asciiTheme="minorHAnsi" w:hAnsiTheme="minorHAnsi"/>
          <w:color w:val="auto"/>
        </w:rPr>
        <w:t>forslag</w:t>
      </w:r>
      <w:r w:rsidR="003E11D8" w:rsidRPr="00815484">
        <w:rPr>
          <w:rStyle w:val="Heading1Char"/>
          <w:color w:val="auto"/>
        </w:rPr>
        <w:t>/metodevarsler</w:t>
      </w:r>
      <w:r w:rsidR="002E4930">
        <w:rPr>
          <w:rStyle w:val="Heading1Char"/>
          <w:color w:val="auto"/>
        </w:rPr>
        <w:t>/oppdrag)</w:t>
      </w:r>
      <w:r w:rsidR="003E11D8">
        <w:rPr>
          <w:b/>
          <w:sz w:val="28"/>
          <w:szCs w:val="28"/>
        </w:rPr>
        <w:br/>
      </w:r>
      <w:r w:rsidR="00815484">
        <w:rPr>
          <w:rFonts w:cs="Arial"/>
        </w:rPr>
        <w:br/>
      </w:r>
      <w:r w:rsidR="003E11D8">
        <w:rPr>
          <w:rFonts w:cs="Arial"/>
        </w:rPr>
        <w:t>Alle har anledning til å komme med tilleggsopplysninger til en metode som er foreslått for nasjonal metodevurdering</w:t>
      </w:r>
      <w:r w:rsidR="004C5BF6">
        <w:rPr>
          <w:rFonts w:cs="Arial"/>
        </w:rPr>
        <w:t>. Det er ønskelig at innspill kommer</w:t>
      </w:r>
      <w:r w:rsidR="00643E8D">
        <w:rPr>
          <w:rFonts w:cs="Arial"/>
        </w:rPr>
        <w:t xml:space="preserve"> inn så tidlig som mulig i pros</w:t>
      </w:r>
      <w:r w:rsidR="004C5BF6">
        <w:rPr>
          <w:rFonts w:cs="Arial"/>
        </w:rPr>
        <w:t>esse</w:t>
      </w:r>
      <w:r w:rsidR="00643E8D">
        <w:rPr>
          <w:rFonts w:cs="Arial"/>
        </w:rPr>
        <w:t>n,</w:t>
      </w:r>
      <w:r w:rsidR="004C5BF6">
        <w:rPr>
          <w:rFonts w:cs="Arial"/>
        </w:rPr>
        <w:t xml:space="preserve"> fortrinnsvis</w:t>
      </w:r>
      <w:r w:rsidR="003E11D8">
        <w:rPr>
          <w:rFonts w:cs="Arial"/>
        </w:rPr>
        <w:t xml:space="preserve"> før</w:t>
      </w:r>
      <w:r w:rsidR="004B303D">
        <w:rPr>
          <w:rFonts w:cs="Arial"/>
        </w:rPr>
        <w:t xml:space="preserve"> </w:t>
      </w:r>
      <w:r w:rsidR="003E11D8">
        <w:rPr>
          <w:rFonts w:cs="Arial"/>
        </w:rPr>
        <w:t>behand</w:t>
      </w:r>
      <w:r w:rsidR="004C5BF6">
        <w:rPr>
          <w:rFonts w:cs="Arial"/>
        </w:rPr>
        <w:t>ling i</w:t>
      </w:r>
      <w:r w:rsidR="003E11D8">
        <w:rPr>
          <w:rFonts w:cs="Arial"/>
        </w:rPr>
        <w:t xml:space="preserve"> Bestillerforum RHF. </w:t>
      </w:r>
    </w:p>
    <w:p w14:paraId="7137614E" w14:textId="77777777" w:rsidR="006F6B4F" w:rsidRDefault="006F6B4F" w:rsidP="003E11D8">
      <w:pPr>
        <w:spacing w:line="240" w:lineRule="auto"/>
        <w:contextualSpacing/>
        <w:rPr>
          <w:rFonts w:cs="Arial"/>
        </w:rPr>
      </w:pPr>
    </w:p>
    <w:p w14:paraId="4A36612C" w14:textId="77777777" w:rsidR="006F6B4F" w:rsidRDefault="003E11D8" w:rsidP="003E11D8">
      <w:pPr>
        <w:spacing w:line="240" w:lineRule="auto"/>
        <w:contextualSpacing/>
        <w:rPr>
          <w:rFonts w:cs="Arial"/>
        </w:rPr>
      </w:pPr>
      <w:r>
        <w:rPr>
          <w:rFonts w:cs="Arial"/>
        </w:rPr>
        <w:t>Bruk dette skjema</w:t>
      </w:r>
      <w:r w:rsidR="004B303D">
        <w:rPr>
          <w:rFonts w:cs="Arial"/>
        </w:rPr>
        <w:t>et</w:t>
      </w:r>
      <w:r>
        <w:rPr>
          <w:rFonts w:cs="Arial"/>
        </w:rPr>
        <w:t xml:space="preserve"> for å gi innspill til forslag</w:t>
      </w:r>
      <w:r w:rsidR="002879D8">
        <w:rPr>
          <w:rFonts w:cs="Arial"/>
        </w:rPr>
        <w:t xml:space="preserve">, </w:t>
      </w:r>
      <w:r>
        <w:rPr>
          <w:rFonts w:cs="Arial"/>
        </w:rPr>
        <w:t>metodevarsler</w:t>
      </w:r>
      <w:r w:rsidR="002879D8">
        <w:rPr>
          <w:rFonts w:cs="Arial"/>
        </w:rPr>
        <w:t xml:space="preserve"> og oppdrag</w:t>
      </w:r>
      <w:r w:rsidR="004C5BF6">
        <w:rPr>
          <w:rFonts w:cs="Arial"/>
        </w:rPr>
        <w:t xml:space="preserve">. </w:t>
      </w:r>
      <w:r w:rsidR="00643E8D">
        <w:rPr>
          <w:rFonts w:cs="Arial"/>
        </w:rPr>
        <w:t>På nyemetoder.no vil nye forslag/metodevarsler ha s</w:t>
      </w:r>
      <w:r>
        <w:rPr>
          <w:rFonts w:cs="Arial"/>
        </w:rPr>
        <w:t>tatus</w:t>
      </w:r>
      <w:r w:rsidR="00643E8D">
        <w:rPr>
          <w:rFonts w:cs="Arial"/>
        </w:rPr>
        <w:t>en</w:t>
      </w:r>
      <w:r>
        <w:rPr>
          <w:rFonts w:cs="Arial"/>
        </w:rPr>
        <w:t xml:space="preserve"> «Forslag mottatt/åpent for innspill»</w:t>
      </w:r>
      <w:r w:rsidR="00A04572">
        <w:rPr>
          <w:rFonts w:cs="Arial"/>
        </w:rPr>
        <w:t xml:space="preserve"> </w:t>
      </w:r>
      <w:r w:rsidR="00643E8D">
        <w:rPr>
          <w:rFonts w:cs="Arial"/>
        </w:rPr>
        <w:t xml:space="preserve">før behandling i </w:t>
      </w:r>
    </w:p>
    <w:p w14:paraId="74D7070C" w14:textId="4B6DA55E" w:rsidR="003E11D8" w:rsidRDefault="00643E8D" w:rsidP="003E11D8">
      <w:pPr>
        <w:spacing w:line="240" w:lineRule="auto"/>
        <w:contextualSpacing/>
        <w:rPr>
          <w:rFonts w:cs="Arial"/>
        </w:rPr>
      </w:pPr>
      <w:r>
        <w:rPr>
          <w:rFonts w:cs="Arial"/>
        </w:rPr>
        <w:t>Bestillerforum RHF.</w:t>
      </w:r>
      <w:r w:rsidR="002B3123">
        <w:rPr>
          <w:rFonts w:cs="Arial"/>
        </w:rPr>
        <w:t xml:space="preserve"> Utfylt skjema sendes </w:t>
      </w:r>
      <w:hyperlink r:id="rId11" w:history="1">
        <w:r w:rsidR="002B3123" w:rsidRPr="003F2A15">
          <w:rPr>
            <w:rStyle w:val="Hyperlink"/>
            <w:rFonts w:cs="Arial"/>
          </w:rPr>
          <w:t>nyemetoder@helse-sorost.no</w:t>
        </w:r>
      </w:hyperlink>
      <w:r w:rsidR="002B3123">
        <w:rPr>
          <w:rFonts w:cs="Arial"/>
        </w:rPr>
        <w:t xml:space="preserve">. </w:t>
      </w:r>
    </w:p>
    <w:p w14:paraId="0937F911" w14:textId="77777777" w:rsidR="006F6B4F" w:rsidRDefault="006F6B4F" w:rsidP="003E11D8">
      <w:pPr>
        <w:spacing w:line="240" w:lineRule="auto"/>
        <w:contextualSpacing/>
        <w:rPr>
          <w:b/>
        </w:rPr>
      </w:pPr>
    </w:p>
    <w:p w14:paraId="75A49679" w14:textId="4DBA9831" w:rsidR="00C354DD" w:rsidRPr="002879D8" w:rsidRDefault="00AE58D8" w:rsidP="003E11D8">
      <w:pPr>
        <w:spacing w:line="240" w:lineRule="auto"/>
        <w:contextualSpacing/>
        <w:rPr>
          <w:sz w:val="20"/>
          <w:szCs w:val="24"/>
        </w:rPr>
      </w:pPr>
      <w:r w:rsidRPr="00AE58D8">
        <w:rPr>
          <w:b/>
        </w:rPr>
        <w:t>NB</w:t>
      </w:r>
      <w:r>
        <w:t xml:space="preserve">: </w:t>
      </w:r>
      <w:r w:rsidR="0091218A" w:rsidRPr="00AE58D8">
        <w:rPr>
          <w:b/>
        </w:rPr>
        <w:t>Punkt 1-3 og 1</w:t>
      </w:r>
      <w:r w:rsidR="001959E5" w:rsidRPr="00AE58D8">
        <w:rPr>
          <w:b/>
        </w:rPr>
        <w:t>1</w:t>
      </w:r>
      <w:r w:rsidR="0091218A" w:rsidRPr="00AE58D8">
        <w:rPr>
          <w:b/>
        </w:rPr>
        <w:t xml:space="preserve"> fylles ut av alle.</w:t>
      </w:r>
      <w:r w:rsidR="0091218A" w:rsidRPr="002879D8">
        <w:t xml:space="preserve"> Punkt 4-9</w:t>
      </w:r>
      <w:r w:rsidR="00C354DD" w:rsidRPr="002879D8">
        <w:t xml:space="preserve"> fylles </w:t>
      </w:r>
      <w:r w:rsidR="00D53539">
        <w:t xml:space="preserve">ut avhengig av rolle og </w:t>
      </w:r>
      <w:r w:rsidR="00C354DD" w:rsidRPr="002879D8">
        <w:t>kjennskap til metoden.</w:t>
      </w:r>
    </w:p>
    <w:p w14:paraId="1B7BDA75" w14:textId="6643E508" w:rsidR="002879D8" w:rsidRPr="002879D8" w:rsidRDefault="003E11D8" w:rsidP="002879D8">
      <w:r>
        <w:rPr>
          <w:rFonts w:cs="Arial"/>
        </w:rPr>
        <w:br/>
      </w:r>
      <w:r w:rsidRPr="00BB7BBF">
        <w:rPr>
          <w:b/>
        </w:rPr>
        <w:t>Jeg er klar over at skjemaet vil bli publisert i sin helhet</w:t>
      </w:r>
      <w:r w:rsidR="002879D8">
        <w:rPr>
          <w:b/>
        </w:rPr>
        <w:t xml:space="preserve"> på nyemetoder.no</w:t>
      </w:r>
      <w:r w:rsidRPr="00BB7BBF">
        <w:rPr>
          <w:b/>
        </w:rPr>
        <w:t xml:space="preserve"> (kryss av):                 </w:t>
      </w:r>
      <w:sdt>
        <w:sdtPr>
          <w:rPr>
            <w:b/>
          </w:rPr>
          <w:id w:val="1087498439"/>
          <w14:checkbox>
            <w14:checked w14:val="1"/>
            <w14:checkedState w14:val="2612" w14:font="MS Gothic"/>
            <w14:uncheckedState w14:val="2610" w14:font="MS Gothic"/>
          </w14:checkbox>
        </w:sdtPr>
        <w:sdtEndPr/>
        <w:sdtContent>
          <w:r w:rsidR="000B172D">
            <w:rPr>
              <w:rFonts w:ascii="MS Gothic" w:eastAsia="MS Gothic" w:hAnsi="MS Gothic" w:hint="eastAsia"/>
              <w:b/>
            </w:rPr>
            <w:t>☒</w:t>
          </w:r>
        </w:sdtContent>
      </w:sdt>
      <w:r w:rsidR="002879D8">
        <w:rPr>
          <w:b/>
        </w:rPr>
        <w:br/>
      </w:r>
      <w:r w:rsidR="002879D8">
        <w:t>Har du informasjon du mener ikke kan</w:t>
      </w:r>
      <w:r w:rsidR="002879D8" w:rsidRPr="00BB7BBF">
        <w:t xml:space="preserve"> offentliggjøres</w:t>
      </w:r>
      <w:r w:rsidR="002879D8">
        <w:t>,</w:t>
      </w:r>
      <w:r w:rsidR="002879D8" w:rsidRPr="00BB7BBF">
        <w:t xml:space="preserve"> ta kontakt med sekretariatet </w:t>
      </w:r>
      <w:r w:rsidR="002879D8" w:rsidRPr="00BB7BBF">
        <w:rPr>
          <w:u w:val="single"/>
        </w:rPr>
        <w:t>før innsending</w:t>
      </w:r>
      <w:r w:rsidR="002879D8">
        <w:rPr>
          <w:b/>
        </w:rPr>
        <w:t xml:space="preserve">. </w:t>
      </w:r>
    </w:p>
    <w:p w14:paraId="5DD2D648" w14:textId="77777777" w:rsidR="002879D8" w:rsidRDefault="002879D8" w:rsidP="0091218A">
      <w:pPr>
        <w:spacing w:line="240" w:lineRule="auto"/>
        <w:contextualSpacing/>
        <w:jc w:val="both"/>
        <w:rPr>
          <w:b/>
        </w:rPr>
      </w:pPr>
    </w:p>
    <w:p w14:paraId="5F51F778" w14:textId="183B3B24" w:rsidR="003E11D8" w:rsidRDefault="003E11D8" w:rsidP="0091218A">
      <w:pPr>
        <w:spacing w:line="240" w:lineRule="auto"/>
        <w:contextualSpacing/>
        <w:jc w:val="both"/>
        <w:rPr>
          <w:rFonts w:ascii="MS Gothic" w:eastAsia="MS Gothic" w:hAnsi="MS Gothic" w:cs="MS Gothic"/>
          <w:b/>
        </w:rPr>
      </w:pPr>
      <w:r>
        <w:rPr>
          <w:b/>
        </w:rPr>
        <w:t>Jeg</w:t>
      </w:r>
      <w:r w:rsidRPr="005805DE">
        <w:rPr>
          <w:b/>
        </w:rPr>
        <w:t xml:space="preserve"> har fylt ut punkt </w:t>
      </w:r>
      <w:r w:rsidR="00885EFB">
        <w:rPr>
          <w:b/>
        </w:rPr>
        <w:t>1</w:t>
      </w:r>
      <w:r w:rsidR="001959E5">
        <w:rPr>
          <w:b/>
        </w:rPr>
        <w:t>1</w:t>
      </w:r>
      <w:r w:rsidRPr="005805DE">
        <w:rPr>
          <w:b/>
        </w:rPr>
        <w:t xml:space="preserve"> ned</w:t>
      </w:r>
      <w:r>
        <w:rPr>
          <w:b/>
        </w:rPr>
        <w:t xml:space="preserve">enfor «Interesser og eventuelle </w:t>
      </w:r>
      <w:r w:rsidRPr="005805DE">
        <w:rPr>
          <w:b/>
        </w:rPr>
        <w:t>interessek</w:t>
      </w:r>
      <w:r>
        <w:rPr>
          <w:b/>
        </w:rPr>
        <w:t xml:space="preserve">onflikter» (kryss av):  </w:t>
      </w:r>
      <w:r w:rsidR="006D3711">
        <w:rPr>
          <w:b/>
        </w:rPr>
        <w:t xml:space="preserve">    </w:t>
      </w:r>
      <w:sdt>
        <w:sdtPr>
          <w:rPr>
            <w:b/>
          </w:rPr>
          <w:id w:val="45337965"/>
          <w14:checkbox>
            <w14:checked w14:val="1"/>
            <w14:checkedState w14:val="2612" w14:font="MS Gothic"/>
            <w14:uncheckedState w14:val="2610" w14:font="MS Gothic"/>
          </w14:checkbox>
        </w:sdtPr>
        <w:sdtEndPr/>
        <w:sdtContent>
          <w:r w:rsidR="000B172D">
            <w:rPr>
              <w:rFonts w:ascii="MS Gothic" w:eastAsia="MS Gothic" w:hAnsi="MS Gothic" w:hint="eastAsia"/>
              <w:b/>
            </w:rPr>
            <w:t>☒</w:t>
          </w:r>
        </w:sdtContent>
      </w:sdt>
      <w:r w:rsidRPr="005805DE">
        <w:rPr>
          <w:b/>
        </w:rPr>
        <w:t xml:space="preserve"> </w:t>
      </w:r>
    </w:p>
    <w:p w14:paraId="668FACD4" w14:textId="26C19A35" w:rsidR="003E11D8" w:rsidRDefault="003E11D8" w:rsidP="003E11D8">
      <w:pPr>
        <w:spacing w:line="240" w:lineRule="auto"/>
        <w:contextualSpacing/>
        <w:rPr>
          <w:b/>
        </w:rPr>
      </w:pPr>
    </w:p>
    <w:p w14:paraId="6C45AA23" w14:textId="77777777" w:rsidR="00D53539" w:rsidRDefault="00D53539" w:rsidP="003E11D8">
      <w:pPr>
        <w:spacing w:line="240" w:lineRule="auto"/>
        <w:contextualSpacing/>
        <w:rPr>
          <w:b/>
        </w:rPr>
      </w:pPr>
    </w:p>
    <w:tbl>
      <w:tblPr>
        <w:tblStyle w:val="TableGrid"/>
        <w:tblW w:w="0" w:type="auto"/>
        <w:tblLook w:val="04A0" w:firstRow="1" w:lastRow="0" w:firstColumn="1" w:lastColumn="0" w:noHBand="0" w:noVBand="1"/>
      </w:tblPr>
      <w:tblGrid>
        <w:gridCol w:w="4077"/>
        <w:gridCol w:w="4849"/>
      </w:tblGrid>
      <w:tr w:rsidR="003E11D8" w14:paraId="0A3EAB97" w14:textId="77777777" w:rsidTr="007F39C3">
        <w:trPr>
          <w:trHeight w:val="20"/>
        </w:trPr>
        <w:tc>
          <w:tcPr>
            <w:tcW w:w="8926" w:type="dxa"/>
            <w:gridSpan w:val="2"/>
          </w:tcPr>
          <w:p w14:paraId="30E632FC" w14:textId="1FB733E8" w:rsidR="003E11D8" w:rsidRPr="001143A3" w:rsidRDefault="003E11D8" w:rsidP="0091218A">
            <w:pPr>
              <w:pStyle w:val="Heading3"/>
              <w:spacing w:after="240"/>
              <w:jc w:val="both"/>
              <w:outlineLvl w:val="2"/>
              <w:rPr>
                <w:color w:val="auto"/>
              </w:rPr>
            </w:pPr>
            <w:r w:rsidRPr="001143A3">
              <w:rPr>
                <w:color w:val="auto"/>
              </w:rPr>
              <w:t>1.Hvilken metode</w:t>
            </w:r>
            <w:r w:rsidR="005079D3">
              <w:rPr>
                <w:color w:val="auto"/>
              </w:rPr>
              <w:t xml:space="preserve"> gjelder innspillet</w:t>
            </w:r>
            <w:r w:rsidR="0091218A">
              <w:rPr>
                <w:color w:val="auto"/>
              </w:rPr>
              <w:t>?</w:t>
            </w:r>
          </w:p>
        </w:tc>
      </w:tr>
      <w:tr w:rsidR="003E11D8" w14:paraId="482D3D4F" w14:textId="77777777" w:rsidTr="007F39C3">
        <w:tc>
          <w:tcPr>
            <w:tcW w:w="4077" w:type="dxa"/>
          </w:tcPr>
          <w:p w14:paraId="2149829E" w14:textId="77777777" w:rsidR="003E11D8" w:rsidRDefault="003E11D8" w:rsidP="0086697D">
            <w:r>
              <w:t>Metodens ID nummer*:</w:t>
            </w:r>
          </w:p>
        </w:tc>
        <w:tc>
          <w:tcPr>
            <w:tcW w:w="4849" w:type="dxa"/>
          </w:tcPr>
          <w:p w14:paraId="1C24BB2C" w14:textId="102B2ADB" w:rsidR="006F6B4F" w:rsidRDefault="00781598" w:rsidP="0086697D">
            <w:r>
              <w:rPr>
                <w:rFonts w:ascii="Calibri" w:hAnsi="Calibri" w:cs="Calibri"/>
                <w:color w:val="222222"/>
                <w:sz w:val="27"/>
                <w:szCs w:val="27"/>
                <w:shd w:val="clear" w:color="auto" w:fill="FFFFFF"/>
              </w:rPr>
              <w:t>ID2020_110</w:t>
            </w:r>
          </w:p>
        </w:tc>
      </w:tr>
      <w:tr w:rsidR="003E11D8" w14:paraId="4951779C" w14:textId="77777777" w:rsidTr="007F39C3">
        <w:tc>
          <w:tcPr>
            <w:tcW w:w="4077" w:type="dxa"/>
          </w:tcPr>
          <w:p w14:paraId="0A95CDA1" w14:textId="77777777" w:rsidR="003E11D8" w:rsidRDefault="003E11D8" w:rsidP="0086697D">
            <w:r>
              <w:t>Metodens tittel:</w:t>
            </w:r>
          </w:p>
        </w:tc>
        <w:tc>
          <w:tcPr>
            <w:tcW w:w="4849" w:type="dxa"/>
          </w:tcPr>
          <w:p w14:paraId="2FFE495E" w14:textId="35CADED2" w:rsidR="006F6B4F" w:rsidRPr="00781598" w:rsidRDefault="00781598" w:rsidP="0086697D">
            <w:pPr>
              <w:rPr>
                <w:sz w:val="27"/>
                <w:szCs w:val="27"/>
              </w:rPr>
            </w:pPr>
            <w:r>
              <w:rPr>
                <w:sz w:val="27"/>
                <w:szCs w:val="27"/>
              </w:rPr>
              <w:t>Behandling av voksne pasienter med akutt myelogen leukemi (AML)</w:t>
            </w:r>
          </w:p>
        </w:tc>
      </w:tr>
    </w:tbl>
    <w:p w14:paraId="55667B0E" w14:textId="013DE55A" w:rsidR="003E11D8" w:rsidRDefault="005079D3" w:rsidP="003E11D8">
      <w:pPr>
        <w:spacing w:line="240" w:lineRule="auto"/>
        <w:contextualSpacing/>
        <w:rPr>
          <w:sz w:val="18"/>
          <w:szCs w:val="24"/>
        </w:rPr>
      </w:pPr>
      <w:r>
        <w:rPr>
          <w:sz w:val="18"/>
          <w:szCs w:val="24"/>
        </w:rPr>
        <w:t>*ID-nummer finner du på metodesiden på n</w:t>
      </w:r>
      <w:r w:rsidR="00D1082E">
        <w:rPr>
          <w:sz w:val="18"/>
          <w:szCs w:val="24"/>
        </w:rPr>
        <w:t>yemetoder.no og har formen ID2020</w:t>
      </w:r>
      <w:r w:rsidR="003E11D8" w:rsidRPr="00614AEB">
        <w:rPr>
          <w:sz w:val="18"/>
          <w:szCs w:val="24"/>
        </w:rPr>
        <w:t>_XX</w:t>
      </w:r>
      <w:r>
        <w:rPr>
          <w:sz w:val="18"/>
          <w:szCs w:val="24"/>
        </w:rPr>
        <w:t>X</w:t>
      </w:r>
    </w:p>
    <w:p w14:paraId="3E94528F" w14:textId="77777777" w:rsidR="00D53539" w:rsidRPr="00485D6B" w:rsidRDefault="00D53539" w:rsidP="003E11D8">
      <w:pPr>
        <w:spacing w:line="240" w:lineRule="auto"/>
        <w:contextualSpacing/>
        <w:rPr>
          <w:sz w:val="18"/>
          <w:szCs w:val="24"/>
        </w:rPr>
      </w:pPr>
    </w:p>
    <w:tbl>
      <w:tblPr>
        <w:tblStyle w:val="TableGrid"/>
        <w:tblW w:w="0" w:type="auto"/>
        <w:tblLook w:val="04A0" w:firstRow="1" w:lastRow="0" w:firstColumn="1" w:lastColumn="0" w:noHBand="0" w:noVBand="1"/>
      </w:tblPr>
      <w:tblGrid>
        <w:gridCol w:w="4077"/>
        <w:gridCol w:w="4849"/>
      </w:tblGrid>
      <w:tr w:rsidR="003E11D8" w14:paraId="242023A4" w14:textId="77777777" w:rsidTr="007F39C3">
        <w:tc>
          <w:tcPr>
            <w:tcW w:w="8926" w:type="dxa"/>
            <w:gridSpan w:val="2"/>
          </w:tcPr>
          <w:p w14:paraId="578BAAB1" w14:textId="77777777" w:rsidR="003E11D8" w:rsidRDefault="003E11D8" w:rsidP="0091218A">
            <w:pPr>
              <w:pStyle w:val="Heading3"/>
              <w:spacing w:after="240"/>
              <w:jc w:val="both"/>
              <w:outlineLvl w:val="2"/>
            </w:pPr>
            <w:r w:rsidRPr="001143A3">
              <w:rPr>
                <w:color w:val="auto"/>
              </w:rPr>
              <w:t>2. Opplysninger om den som gir innspill</w:t>
            </w:r>
          </w:p>
        </w:tc>
      </w:tr>
      <w:tr w:rsidR="003E11D8" w14:paraId="3B1C4A5C" w14:textId="77777777" w:rsidTr="007F39C3">
        <w:tc>
          <w:tcPr>
            <w:tcW w:w="4077" w:type="dxa"/>
          </w:tcPr>
          <w:p w14:paraId="00040E2B" w14:textId="77777777" w:rsidR="003E11D8" w:rsidRDefault="005079D3" w:rsidP="0086697D">
            <w:r>
              <w:t xml:space="preserve">Navn </w:t>
            </w:r>
          </w:p>
        </w:tc>
        <w:tc>
          <w:tcPr>
            <w:tcW w:w="4849" w:type="dxa"/>
          </w:tcPr>
          <w:p w14:paraId="36A034F4" w14:textId="05023412" w:rsidR="008639F1" w:rsidRDefault="00781598" w:rsidP="0086697D">
            <w:r>
              <w:t>Car</w:t>
            </w:r>
            <w:r w:rsidR="00A11314">
              <w:t>l</w:t>
            </w:r>
            <w:r>
              <w:t xml:space="preserve"> Richard Frostad</w:t>
            </w:r>
          </w:p>
        </w:tc>
      </w:tr>
      <w:tr w:rsidR="003E11D8" w14:paraId="09E926A0" w14:textId="77777777" w:rsidTr="007F39C3">
        <w:tc>
          <w:tcPr>
            <w:tcW w:w="4077" w:type="dxa"/>
          </w:tcPr>
          <w:p w14:paraId="475D8B54" w14:textId="77777777" w:rsidR="003E11D8" w:rsidRDefault="003E11D8" w:rsidP="0086697D">
            <w:r>
              <w:t>Eventuell organisasjon/arbeidsplass</w:t>
            </w:r>
          </w:p>
        </w:tc>
        <w:tc>
          <w:tcPr>
            <w:tcW w:w="4849" w:type="dxa"/>
          </w:tcPr>
          <w:p w14:paraId="6AB70289" w14:textId="2B85189E" w:rsidR="008639F1" w:rsidRDefault="00781598" w:rsidP="0086697D">
            <w:r>
              <w:t>Bristol Myers Squibb</w:t>
            </w:r>
          </w:p>
        </w:tc>
      </w:tr>
      <w:tr w:rsidR="003E11D8" w14:paraId="1BB2B375" w14:textId="77777777" w:rsidTr="007F39C3">
        <w:tc>
          <w:tcPr>
            <w:tcW w:w="4077" w:type="dxa"/>
          </w:tcPr>
          <w:p w14:paraId="507B8E55" w14:textId="77777777" w:rsidR="003E11D8" w:rsidRDefault="005079D3" w:rsidP="005079D3">
            <w:r>
              <w:t>Kontaktinformasjon</w:t>
            </w:r>
            <w:r w:rsidR="003E11D8">
              <w:t xml:space="preserve"> (e-post / telefon)</w:t>
            </w:r>
          </w:p>
        </w:tc>
        <w:tc>
          <w:tcPr>
            <w:tcW w:w="4849" w:type="dxa"/>
          </w:tcPr>
          <w:p w14:paraId="2F103449" w14:textId="1F7FC041" w:rsidR="008639F1" w:rsidRDefault="00781598" w:rsidP="0086697D">
            <w:r>
              <w:t>+47 92844600</w:t>
            </w:r>
          </w:p>
        </w:tc>
      </w:tr>
    </w:tbl>
    <w:p w14:paraId="319B484D" w14:textId="77777777" w:rsidR="003E11D8" w:rsidRPr="00D1082E" w:rsidRDefault="003E11D8" w:rsidP="0091218A">
      <w:pPr>
        <w:pStyle w:val="Heading3"/>
        <w:spacing w:after="240" w:line="240" w:lineRule="auto"/>
        <w:jc w:val="both"/>
        <w:rPr>
          <w:color w:val="auto"/>
          <w:sz w:val="16"/>
          <w:szCs w:val="16"/>
        </w:rPr>
      </w:pPr>
    </w:p>
    <w:tbl>
      <w:tblPr>
        <w:tblStyle w:val="TableGrid"/>
        <w:tblW w:w="0" w:type="auto"/>
        <w:tblLook w:val="04A0" w:firstRow="1" w:lastRow="0" w:firstColumn="1" w:lastColumn="0" w:noHBand="0" w:noVBand="1"/>
      </w:tblPr>
      <w:tblGrid>
        <w:gridCol w:w="8926"/>
      </w:tblGrid>
      <w:tr w:rsidR="00C354DD" w:rsidRPr="0091218A" w14:paraId="5EFBD12F" w14:textId="77777777" w:rsidTr="00794E76">
        <w:tc>
          <w:tcPr>
            <w:tcW w:w="8926" w:type="dxa"/>
          </w:tcPr>
          <w:p w14:paraId="2D317FAD" w14:textId="6DCA16D0" w:rsidR="00C354DD" w:rsidRPr="0091218A" w:rsidRDefault="00702941" w:rsidP="0091218A">
            <w:pPr>
              <w:pStyle w:val="Heading3"/>
              <w:spacing w:after="240"/>
              <w:jc w:val="both"/>
              <w:outlineLvl w:val="2"/>
              <w:rPr>
                <w:color w:val="auto"/>
              </w:rPr>
            </w:pPr>
            <w:r w:rsidRPr="0091218A">
              <w:rPr>
                <w:color w:val="auto"/>
              </w:rPr>
              <w:t xml:space="preserve">3. </w:t>
            </w:r>
            <w:r w:rsidR="00C354DD" w:rsidRPr="0091218A">
              <w:rPr>
                <w:color w:val="auto"/>
              </w:rPr>
              <w:t>Oppsummert innspill til metoden (besvares av alle)</w:t>
            </w:r>
          </w:p>
        </w:tc>
      </w:tr>
      <w:tr w:rsidR="00C354DD" w14:paraId="17D30855" w14:textId="77777777" w:rsidTr="00794E76">
        <w:trPr>
          <w:trHeight w:val="512"/>
        </w:trPr>
        <w:tc>
          <w:tcPr>
            <w:tcW w:w="8926" w:type="dxa"/>
          </w:tcPr>
          <w:p w14:paraId="5529C953" w14:textId="437BA8D2" w:rsidR="000B172D" w:rsidRDefault="006670C7" w:rsidP="006670C7">
            <w:pPr>
              <w:shd w:val="clear" w:color="auto" w:fill="FFFFFF" w:themeFill="background1"/>
            </w:pPr>
            <w:r>
              <w:t>O</w:t>
            </w:r>
            <w:r w:rsidR="000B172D" w:rsidRPr="006670C7">
              <w:t xml:space="preserve">ral </w:t>
            </w:r>
            <w:r w:rsidR="00B12B1D" w:rsidRPr="006670C7">
              <w:t>azacitidin</w:t>
            </w:r>
            <w:r>
              <w:t>,</w:t>
            </w:r>
            <w:r w:rsidR="00B12B1D" w:rsidRPr="006670C7">
              <w:t xml:space="preserve"> </w:t>
            </w:r>
            <w:r w:rsidR="00873CBB" w:rsidRPr="006670C7">
              <w:t xml:space="preserve">utviklet </w:t>
            </w:r>
            <w:r w:rsidR="00987F5C" w:rsidRPr="006670C7">
              <w:t xml:space="preserve">for vedlikeholdsbehandling av </w:t>
            </w:r>
            <w:r w:rsidR="00606E48" w:rsidRPr="006670C7">
              <w:t>v</w:t>
            </w:r>
            <w:r w:rsidR="00C42A08" w:rsidRPr="006670C7">
              <w:t xml:space="preserve">oksne pasienter med akutt myelogen leukemi (AML) </w:t>
            </w:r>
            <w:r w:rsidR="00264594" w:rsidRPr="006670C7">
              <w:t>som er i remisjon og som ikke kan transplant</w:t>
            </w:r>
            <w:r w:rsidR="00873CBB" w:rsidRPr="006670C7">
              <w:t>eres</w:t>
            </w:r>
            <w:r w:rsidR="00987F5C" w:rsidRPr="006670C7">
              <w:t>.</w:t>
            </w:r>
          </w:p>
          <w:p w14:paraId="7A084CDD" w14:textId="77777777" w:rsidR="00576257" w:rsidRDefault="00576257" w:rsidP="006670C7">
            <w:pPr>
              <w:shd w:val="clear" w:color="auto" w:fill="FFFFFF" w:themeFill="background1"/>
            </w:pPr>
          </w:p>
          <w:p w14:paraId="531F0B1E" w14:textId="1D78292C" w:rsidR="00987F5C" w:rsidRPr="00576257" w:rsidRDefault="00987F5C" w:rsidP="006670C7">
            <w:pPr>
              <w:shd w:val="clear" w:color="auto" w:fill="FFFFFF" w:themeFill="background1"/>
              <w:rPr>
                <w:b/>
                <w:bCs/>
              </w:rPr>
            </w:pPr>
            <w:r w:rsidRPr="00576257">
              <w:rPr>
                <w:b/>
                <w:bCs/>
              </w:rPr>
              <w:t xml:space="preserve">Vi foreslår </w:t>
            </w:r>
            <w:r w:rsidR="00860C9E">
              <w:rPr>
                <w:b/>
                <w:bCs/>
              </w:rPr>
              <w:t xml:space="preserve">å endre fra </w:t>
            </w:r>
            <w:r w:rsidRPr="00576257">
              <w:rPr>
                <w:b/>
                <w:bCs/>
              </w:rPr>
              <w:t xml:space="preserve">løp </w:t>
            </w:r>
            <w:r w:rsidR="00860C9E">
              <w:rPr>
                <w:b/>
                <w:bCs/>
              </w:rPr>
              <w:t>D til løp C</w:t>
            </w:r>
            <w:r w:rsidR="0013022A" w:rsidRPr="00576257">
              <w:rPr>
                <w:b/>
                <w:bCs/>
              </w:rPr>
              <w:t xml:space="preserve"> for Onureg</w:t>
            </w:r>
            <w:r w:rsidR="00576257">
              <w:rPr>
                <w:b/>
                <w:bCs/>
              </w:rPr>
              <w:t xml:space="preserve"> </w:t>
            </w:r>
            <w:r w:rsidR="006670C7" w:rsidRPr="00576257">
              <w:rPr>
                <w:b/>
                <w:bCs/>
              </w:rPr>
              <w:t>.</w:t>
            </w:r>
          </w:p>
          <w:p w14:paraId="2B2821E2" w14:textId="059082FD" w:rsidR="00651108" w:rsidRDefault="00651108" w:rsidP="00576257"/>
          <w:p w14:paraId="480D9757" w14:textId="77777777" w:rsidR="000C3310" w:rsidRPr="000C3310" w:rsidRDefault="00860C9E" w:rsidP="000C3310">
            <w:pPr>
              <w:pStyle w:val="ListParagraph"/>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eastAsia="nb-NO"/>
              </w:rPr>
            </w:pPr>
            <w:r w:rsidRPr="000C3310">
              <w:rPr>
                <w:rFonts w:eastAsia="Times New Roman" w:cstheme="minorHAnsi"/>
                <w:color w:val="202124"/>
                <w:lang w:eastAsia="nb-NO"/>
              </w:rPr>
              <w:t>Onureg og injiserbar azacitidin</w:t>
            </w:r>
            <w:r w:rsidR="00576257" w:rsidRPr="000C3310">
              <w:rPr>
                <w:rFonts w:eastAsia="Times New Roman" w:cstheme="minorHAnsi"/>
                <w:color w:val="202124"/>
                <w:lang w:eastAsia="nb-NO"/>
              </w:rPr>
              <w:t xml:space="preserve"> </w:t>
            </w:r>
            <w:r w:rsidR="00651108" w:rsidRPr="000C3310">
              <w:rPr>
                <w:rFonts w:eastAsia="Times New Roman" w:cstheme="minorHAnsi"/>
                <w:color w:val="202124"/>
                <w:lang w:eastAsia="nb-NO"/>
              </w:rPr>
              <w:t>er ikke bioekvivalente</w:t>
            </w:r>
            <w:r w:rsidR="000C3310" w:rsidRPr="000C3310">
              <w:rPr>
                <w:rFonts w:eastAsia="Times New Roman" w:cstheme="minorHAnsi"/>
                <w:color w:val="202124"/>
                <w:lang w:eastAsia="nb-NO"/>
              </w:rPr>
              <w:t xml:space="preserve"> og </w:t>
            </w:r>
            <w:r w:rsidRPr="000C3310">
              <w:rPr>
                <w:rFonts w:eastAsia="Times New Roman" w:cstheme="minorHAnsi"/>
                <w:color w:val="202124"/>
                <w:lang w:eastAsia="nb-NO"/>
              </w:rPr>
              <w:t>skal</w:t>
            </w:r>
            <w:r w:rsidR="00651108" w:rsidRPr="000C3310">
              <w:rPr>
                <w:rFonts w:eastAsia="Times New Roman" w:cstheme="minorHAnsi"/>
                <w:color w:val="202124"/>
                <w:lang w:eastAsia="nb-NO"/>
              </w:rPr>
              <w:t xml:space="preserve"> ikke brukes om hverandre</w:t>
            </w:r>
            <w:r w:rsidR="000C3310" w:rsidRPr="000C3310">
              <w:rPr>
                <w:rFonts w:eastAsia="Times New Roman" w:cstheme="minorHAnsi"/>
                <w:color w:val="202124"/>
                <w:lang w:eastAsia="nb-NO"/>
              </w:rPr>
              <w:t>.</w:t>
            </w:r>
            <w:r w:rsidR="00651108" w:rsidRPr="000C3310">
              <w:rPr>
                <w:rFonts w:eastAsia="Times New Roman" w:cstheme="minorHAnsi"/>
                <w:color w:val="202124"/>
                <w:lang w:eastAsia="nb-NO"/>
              </w:rPr>
              <w:t xml:space="preserve"> </w:t>
            </w:r>
          </w:p>
          <w:p w14:paraId="7D090B0A" w14:textId="4239821C" w:rsidR="00860C9E" w:rsidRPr="000C3310" w:rsidRDefault="000C3310" w:rsidP="000C3310">
            <w:pPr>
              <w:pStyle w:val="ListParagraph"/>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eastAsia="nb-NO"/>
              </w:rPr>
            </w:pPr>
            <w:r w:rsidRPr="000C3310">
              <w:rPr>
                <w:rFonts w:eastAsia="Times New Roman" w:cstheme="minorHAnsi"/>
                <w:color w:val="202124"/>
                <w:lang w:eastAsia="nb-NO"/>
              </w:rPr>
              <w:t xml:space="preserve">Medikamentene har </w:t>
            </w:r>
            <w:r w:rsidR="00860C9E" w:rsidRPr="000C3310">
              <w:rPr>
                <w:rFonts w:eastAsia="Times New Roman" w:cstheme="minorHAnsi"/>
                <w:color w:val="202124"/>
                <w:lang w:eastAsia="nb-NO"/>
              </w:rPr>
              <w:t xml:space="preserve">ulik farmakokinetikk, cellulær </w:t>
            </w:r>
            <w:r w:rsidR="00651108" w:rsidRPr="000C3310">
              <w:rPr>
                <w:rFonts w:eastAsia="Times New Roman" w:cstheme="minorHAnsi"/>
                <w:color w:val="202124"/>
                <w:lang w:eastAsia="nb-NO"/>
              </w:rPr>
              <w:t>eksponering, dose</w:t>
            </w:r>
            <w:r>
              <w:rPr>
                <w:rFonts w:eastAsia="Times New Roman" w:cstheme="minorHAnsi"/>
                <w:color w:val="202124"/>
                <w:lang w:eastAsia="nb-NO"/>
              </w:rPr>
              <w:t>ring, administrasjonsform,</w:t>
            </w:r>
            <w:r w:rsidR="00651108" w:rsidRPr="000C3310">
              <w:rPr>
                <w:rFonts w:eastAsia="Times New Roman" w:cstheme="minorHAnsi"/>
                <w:color w:val="202124"/>
                <w:lang w:eastAsia="nb-NO"/>
              </w:rPr>
              <w:t xml:space="preserve"> </w:t>
            </w:r>
            <w:r w:rsidRPr="000C3310">
              <w:rPr>
                <w:rFonts w:eastAsia="Times New Roman" w:cstheme="minorHAnsi"/>
                <w:color w:val="202124"/>
                <w:lang w:eastAsia="nb-NO"/>
              </w:rPr>
              <w:t xml:space="preserve">godkjente indikasjoner </w:t>
            </w:r>
            <w:r w:rsidR="00651108" w:rsidRPr="000C3310">
              <w:rPr>
                <w:rFonts w:eastAsia="Times New Roman" w:cstheme="minorHAnsi"/>
                <w:color w:val="202124"/>
                <w:lang w:eastAsia="nb-NO"/>
              </w:rPr>
              <w:t xml:space="preserve">og behandlingsplan. </w:t>
            </w:r>
          </w:p>
          <w:p w14:paraId="218D363C" w14:textId="14892ADA" w:rsidR="000C3310" w:rsidRPr="000C3310" w:rsidRDefault="00651108" w:rsidP="00A328E6">
            <w:pPr>
              <w:pStyle w:val="ListParagraph"/>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eastAsia="nb-NO"/>
              </w:rPr>
            </w:pPr>
            <w:r w:rsidRPr="000C3310">
              <w:rPr>
                <w:rFonts w:eastAsia="Times New Roman" w:cstheme="minorHAnsi"/>
                <w:color w:val="202124"/>
                <w:lang w:eastAsia="nb-NO"/>
              </w:rPr>
              <w:t>Onureg</w:t>
            </w:r>
            <w:r w:rsidR="00860C9E" w:rsidRPr="000C3310">
              <w:rPr>
                <w:rFonts w:eastAsia="Times New Roman" w:cstheme="minorHAnsi"/>
                <w:color w:val="202124"/>
                <w:lang w:eastAsia="nb-NO"/>
              </w:rPr>
              <w:t xml:space="preserve"> gis </w:t>
            </w:r>
            <w:r w:rsidRPr="000C3310">
              <w:rPr>
                <w:rFonts w:eastAsia="Times New Roman" w:cstheme="minorHAnsi"/>
                <w:color w:val="202124"/>
                <w:lang w:eastAsia="nb-NO"/>
              </w:rPr>
              <w:t xml:space="preserve">i lave systemiske doser </w:t>
            </w:r>
            <w:r w:rsidR="00860C9E" w:rsidRPr="000C3310">
              <w:rPr>
                <w:rFonts w:eastAsia="Times New Roman" w:cstheme="minorHAnsi"/>
                <w:color w:val="202124"/>
                <w:lang w:eastAsia="nb-NO"/>
              </w:rPr>
              <w:t xml:space="preserve">som hjemmebehandling </w:t>
            </w:r>
            <w:r w:rsidRPr="000C3310">
              <w:rPr>
                <w:rFonts w:eastAsia="Times New Roman" w:cstheme="minorHAnsi"/>
                <w:color w:val="202124"/>
                <w:lang w:eastAsia="nb-NO"/>
              </w:rPr>
              <w:t>(14 eller 21 dager av hver 28-dagers syklus)</w:t>
            </w:r>
            <w:r w:rsidR="00860C9E" w:rsidRPr="000C3310">
              <w:rPr>
                <w:rFonts w:eastAsia="Times New Roman" w:cstheme="minorHAnsi"/>
                <w:color w:val="202124"/>
                <w:lang w:eastAsia="nb-NO"/>
              </w:rPr>
              <w:t xml:space="preserve"> vs. poliklinisk </w:t>
            </w:r>
            <w:r w:rsidRPr="000C3310">
              <w:rPr>
                <w:rFonts w:eastAsia="Times New Roman" w:cstheme="minorHAnsi"/>
                <w:color w:val="202124"/>
                <w:lang w:eastAsia="nb-NO"/>
              </w:rPr>
              <w:t>injiserbar azacitidin</w:t>
            </w:r>
            <w:r w:rsidR="00860C9E" w:rsidRPr="000C3310">
              <w:rPr>
                <w:rFonts w:eastAsia="Times New Roman" w:cstheme="minorHAnsi"/>
                <w:color w:val="202124"/>
                <w:lang w:eastAsia="nb-NO"/>
              </w:rPr>
              <w:t>.</w:t>
            </w:r>
            <w:r w:rsidR="000C3310" w:rsidRPr="000C3310">
              <w:rPr>
                <w:rFonts w:eastAsia="Times New Roman" w:cstheme="minorHAnsi"/>
                <w:color w:val="202124"/>
                <w:lang w:eastAsia="nb-NO"/>
              </w:rPr>
              <w:t xml:space="preserve"> (5-7 dager av hver 28-dagers syklus)</w:t>
            </w:r>
          </w:p>
          <w:p w14:paraId="2EBABA79" w14:textId="588B364A" w:rsidR="000C3310" w:rsidRDefault="000C3310" w:rsidP="00077E57">
            <w:pPr>
              <w:pStyle w:val="ListParagraph"/>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eastAsia="nb-NO"/>
              </w:rPr>
            </w:pPr>
            <w:r>
              <w:rPr>
                <w:rFonts w:eastAsia="Times New Roman" w:cstheme="minorHAnsi"/>
                <w:color w:val="202124"/>
                <w:lang w:eastAsia="nb-NO"/>
              </w:rPr>
              <w:lastRenderedPageBreak/>
              <w:t>L</w:t>
            </w:r>
            <w:r w:rsidR="00651108" w:rsidRPr="00860C9E">
              <w:rPr>
                <w:rFonts w:eastAsia="Times New Roman" w:cstheme="minorHAnsi"/>
                <w:color w:val="202124"/>
                <w:lang w:eastAsia="nb-NO"/>
              </w:rPr>
              <w:t xml:space="preserve">avere nivå av </w:t>
            </w:r>
            <w:r w:rsidR="00D5164B" w:rsidRPr="00860C9E">
              <w:rPr>
                <w:rFonts w:eastAsia="Times New Roman" w:cstheme="minorHAnsi"/>
                <w:color w:val="202124"/>
                <w:lang w:eastAsia="nb-NO"/>
              </w:rPr>
              <w:t xml:space="preserve">Onureg </w:t>
            </w:r>
            <w:r w:rsidR="00D5164B">
              <w:rPr>
                <w:rFonts w:eastAsia="Times New Roman" w:cstheme="minorHAnsi"/>
                <w:color w:val="202124"/>
                <w:lang w:eastAsia="nb-NO"/>
              </w:rPr>
              <w:t xml:space="preserve">gir mulighet for at kreftceller blir </w:t>
            </w:r>
            <w:r w:rsidR="00651108" w:rsidRPr="00860C9E">
              <w:rPr>
                <w:rFonts w:eastAsia="Times New Roman" w:cstheme="minorHAnsi"/>
                <w:color w:val="202124"/>
                <w:lang w:eastAsia="nb-NO"/>
              </w:rPr>
              <w:t>eksponer</w:t>
            </w:r>
            <w:r w:rsidR="00D5164B">
              <w:rPr>
                <w:rFonts w:eastAsia="Times New Roman" w:cstheme="minorHAnsi"/>
                <w:color w:val="202124"/>
                <w:lang w:eastAsia="nb-NO"/>
              </w:rPr>
              <w:t>t for virkestoffet</w:t>
            </w:r>
            <w:r w:rsidR="00651108" w:rsidRPr="00860C9E">
              <w:rPr>
                <w:rFonts w:eastAsia="Times New Roman" w:cstheme="minorHAnsi"/>
                <w:color w:val="202124"/>
                <w:lang w:eastAsia="nb-NO"/>
              </w:rPr>
              <w:t xml:space="preserve"> over lengre </w:t>
            </w:r>
            <w:r w:rsidR="00D5164B">
              <w:rPr>
                <w:rFonts w:eastAsia="Times New Roman" w:cstheme="minorHAnsi"/>
                <w:color w:val="202124"/>
                <w:lang w:eastAsia="nb-NO"/>
              </w:rPr>
              <w:t>tid</w:t>
            </w:r>
            <w:r w:rsidR="00651108" w:rsidRPr="00860C9E">
              <w:rPr>
                <w:rFonts w:eastAsia="Times New Roman" w:cstheme="minorHAnsi"/>
                <w:color w:val="202124"/>
                <w:lang w:eastAsia="nb-NO"/>
              </w:rPr>
              <w:t xml:space="preserve"> </w:t>
            </w:r>
            <w:r w:rsidR="00D5164B">
              <w:rPr>
                <w:rFonts w:eastAsia="Times New Roman" w:cstheme="minorHAnsi"/>
                <w:color w:val="202124"/>
                <w:lang w:eastAsia="nb-NO"/>
              </w:rPr>
              <w:t xml:space="preserve">og </w:t>
            </w:r>
            <w:r w:rsidR="00651108" w:rsidRPr="00860C9E">
              <w:rPr>
                <w:rFonts w:eastAsia="Times New Roman" w:cstheme="minorHAnsi"/>
                <w:color w:val="202124"/>
                <w:lang w:eastAsia="nb-NO"/>
              </w:rPr>
              <w:t>øke</w:t>
            </w:r>
            <w:r>
              <w:rPr>
                <w:rFonts w:eastAsia="Times New Roman" w:cstheme="minorHAnsi"/>
                <w:color w:val="202124"/>
                <w:lang w:eastAsia="nb-NO"/>
              </w:rPr>
              <w:t>r</w:t>
            </w:r>
            <w:r w:rsidR="00651108" w:rsidRPr="00860C9E">
              <w:rPr>
                <w:rFonts w:eastAsia="Times New Roman" w:cstheme="minorHAnsi"/>
                <w:color w:val="202124"/>
                <w:lang w:eastAsia="nb-NO"/>
              </w:rPr>
              <w:t xml:space="preserve"> </w:t>
            </w:r>
            <w:r w:rsidR="00D5164B">
              <w:rPr>
                <w:rFonts w:eastAsia="Times New Roman" w:cstheme="minorHAnsi"/>
                <w:color w:val="202124"/>
                <w:lang w:eastAsia="nb-NO"/>
              </w:rPr>
              <w:t>sannsynligheten</w:t>
            </w:r>
            <w:r w:rsidR="00651108" w:rsidRPr="00860C9E">
              <w:rPr>
                <w:rFonts w:eastAsia="Times New Roman" w:cstheme="minorHAnsi"/>
                <w:color w:val="202124"/>
                <w:lang w:eastAsia="nb-NO"/>
              </w:rPr>
              <w:t xml:space="preserve"> for at </w:t>
            </w:r>
            <w:r>
              <w:rPr>
                <w:rFonts w:eastAsia="Times New Roman" w:cstheme="minorHAnsi"/>
                <w:color w:val="202124"/>
                <w:lang w:eastAsia="nb-NO"/>
              </w:rPr>
              <w:t>kreft</w:t>
            </w:r>
            <w:r w:rsidR="00651108" w:rsidRPr="00860C9E">
              <w:rPr>
                <w:rFonts w:eastAsia="Times New Roman" w:cstheme="minorHAnsi"/>
                <w:color w:val="202124"/>
                <w:lang w:eastAsia="nb-NO"/>
              </w:rPr>
              <w:t xml:space="preserve">celler </w:t>
            </w:r>
            <w:r w:rsidR="00D5164B">
              <w:rPr>
                <w:rFonts w:eastAsia="Times New Roman" w:cstheme="minorHAnsi"/>
                <w:color w:val="202124"/>
                <w:lang w:eastAsia="nb-NO"/>
              </w:rPr>
              <w:t>er</w:t>
            </w:r>
            <w:r w:rsidR="00651108" w:rsidRPr="00860C9E">
              <w:rPr>
                <w:rFonts w:eastAsia="Times New Roman" w:cstheme="minorHAnsi"/>
                <w:color w:val="202124"/>
                <w:lang w:eastAsia="nb-NO"/>
              </w:rPr>
              <w:t xml:space="preserve"> i det</w:t>
            </w:r>
            <w:r w:rsidR="00D5164B">
              <w:rPr>
                <w:rFonts w:eastAsia="Times New Roman" w:cstheme="minorHAnsi"/>
                <w:color w:val="202124"/>
                <w:lang w:eastAsia="nb-NO"/>
              </w:rPr>
              <w:t xml:space="preserve"> </w:t>
            </w:r>
            <w:r w:rsidR="00651108" w:rsidRPr="00860C9E">
              <w:rPr>
                <w:rFonts w:eastAsia="Times New Roman" w:cstheme="minorHAnsi"/>
                <w:color w:val="202124"/>
                <w:lang w:eastAsia="nb-NO"/>
              </w:rPr>
              <w:t xml:space="preserve">cellesyklusstadiet (dvs. S-fasen) for DNA-inkorporering </w:t>
            </w:r>
            <w:r w:rsidR="00A13476">
              <w:rPr>
                <w:rFonts w:eastAsia="Times New Roman" w:cstheme="minorHAnsi"/>
                <w:color w:val="202124"/>
                <w:lang w:eastAsia="nb-NO"/>
              </w:rPr>
              <w:t>som resulterer i</w:t>
            </w:r>
            <w:r w:rsidR="00D5164B">
              <w:rPr>
                <w:rFonts w:eastAsia="Times New Roman" w:cstheme="minorHAnsi"/>
                <w:color w:val="202124"/>
                <w:lang w:eastAsia="nb-NO"/>
              </w:rPr>
              <w:t xml:space="preserve"> reaktivering av</w:t>
            </w:r>
            <w:r>
              <w:rPr>
                <w:rFonts w:eastAsia="Times New Roman" w:cstheme="minorHAnsi"/>
                <w:color w:val="202124"/>
                <w:lang w:eastAsia="nb-NO"/>
              </w:rPr>
              <w:t xml:space="preserve"> DNA gen-signalering for normal celledeling.</w:t>
            </w:r>
            <w:r w:rsidR="00651108" w:rsidRPr="00860C9E">
              <w:rPr>
                <w:rFonts w:eastAsia="Times New Roman" w:cstheme="minorHAnsi"/>
                <w:color w:val="202124"/>
                <w:lang w:eastAsia="nb-NO"/>
              </w:rPr>
              <w:t xml:space="preserve"> </w:t>
            </w:r>
          </w:p>
          <w:p w14:paraId="091EB6A9" w14:textId="066EC737" w:rsidR="00651108" w:rsidRDefault="00651108" w:rsidP="00077E57">
            <w:pPr>
              <w:pStyle w:val="ListParagraph"/>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eastAsia="nb-NO"/>
              </w:rPr>
            </w:pPr>
            <w:r w:rsidRPr="00860C9E">
              <w:rPr>
                <w:rFonts w:eastAsia="Times New Roman" w:cstheme="minorHAnsi"/>
                <w:color w:val="202124"/>
                <w:lang w:eastAsia="nb-NO"/>
              </w:rPr>
              <w:t>Videre kan lav, langvarig eksponering redusere risikoen for toksisitet (f.eks. forverring av eksisterende cytopenier) sammenlignet med eksponering for høyere nivåer over en kortere varighet.</w:t>
            </w:r>
          </w:p>
          <w:p w14:paraId="7A52350D" w14:textId="4A53A85D" w:rsidR="00651108" w:rsidRPr="00D5164B" w:rsidRDefault="00D5164B" w:rsidP="00D5164B">
            <w:pPr>
              <w:pStyle w:val="ListParagraph"/>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eastAsia="nb-NO"/>
              </w:rPr>
            </w:pPr>
            <w:r w:rsidRPr="00D5164B">
              <w:rPr>
                <w:rFonts w:eastAsia="Times New Roman" w:cstheme="minorHAnsi"/>
                <w:color w:val="202124"/>
                <w:lang w:eastAsia="nb-NO"/>
              </w:rPr>
              <w:t>Oral</w:t>
            </w:r>
            <w:r w:rsidR="00651108" w:rsidRPr="00D5164B">
              <w:rPr>
                <w:rFonts w:eastAsia="Times New Roman" w:cstheme="minorHAnsi"/>
                <w:color w:val="202124"/>
                <w:lang w:eastAsia="nb-NO"/>
              </w:rPr>
              <w:t xml:space="preserve"> administrering </w:t>
            </w:r>
            <w:r w:rsidRPr="00D5164B">
              <w:rPr>
                <w:rFonts w:eastAsia="Times New Roman" w:cstheme="minorHAnsi"/>
                <w:color w:val="202124"/>
                <w:lang w:eastAsia="nb-NO"/>
              </w:rPr>
              <w:t xml:space="preserve">eliminerer </w:t>
            </w:r>
            <w:r w:rsidR="00651108" w:rsidRPr="00D5164B">
              <w:rPr>
                <w:rFonts w:eastAsia="Times New Roman" w:cstheme="minorHAnsi"/>
                <w:color w:val="202124"/>
                <w:lang w:eastAsia="nb-NO"/>
              </w:rPr>
              <w:t>injeksjon</w:t>
            </w:r>
            <w:r w:rsidRPr="00D5164B">
              <w:rPr>
                <w:rFonts w:eastAsia="Times New Roman" w:cstheme="minorHAnsi"/>
                <w:color w:val="202124"/>
                <w:lang w:eastAsia="nb-NO"/>
              </w:rPr>
              <w:t>srelaterte bivirkninger</w:t>
            </w:r>
            <w:r w:rsidR="00651108" w:rsidRPr="00D5164B">
              <w:rPr>
                <w:rFonts w:eastAsia="Times New Roman" w:cstheme="minorHAnsi"/>
                <w:color w:val="202124"/>
                <w:lang w:eastAsia="nb-NO"/>
              </w:rPr>
              <w:t xml:space="preserve"> </w:t>
            </w:r>
            <w:r w:rsidRPr="00D5164B">
              <w:rPr>
                <w:rFonts w:eastAsia="Times New Roman" w:cstheme="minorHAnsi"/>
                <w:color w:val="202124"/>
                <w:lang w:eastAsia="nb-NO"/>
              </w:rPr>
              <w:t>og øker compliance.</w:t>
            </w:r>
          </w:p>
          <w:p w14:paraId="305304F8" w14:textId="7C832BF2" w:rsidR="000E19CC" w:rsidRPr="000E19CC" w:rsidRDefault="00817582" w:rsidP="001D4B32">
            <w:pPr>
              <w:pStyle w:val="ListParagraph"/>
              <w:numPr>
                <w:ilvl w:val="0"/>
                <w:numId w:val="14"/>
              </w:numPr>
            </w:pPr>
            <w:r w:rsidRPr="00817582">
              <w:t>Sikkerheten og effekten av Onureg som vedlikeholdsbehandling for pasienter med AML har blitt vist i den pivotale randomiserte fase 3 QUAZAR AML 001-studien.</w:t>
            </w:r>
            <w:r w:rsidR="00F4468B">
              <w:rPr>
                <w:vertAlign w:val="superscript"/>
              </w:rPr>
              <w:t>5</w:t>
            </w:r>
            <w:r w:rsidRPr="00817582">
              <w:t xml:space="preserve"> I QUAZAR AML 001 viste Onureg en klinisk og statistisk signifikant forbedring i total overlevelse (OS, primært endepunkt) sammenlignet med placebo. Ved en median oppfølging på 41,2 måneder (basert på en databaselås fra juli 2019), var median OS 24,7 måneder (95 % </w:t>
            </w:r>
            <w:r w:rsidR="00794E76">
              <w:t>k</w:t>
            </w:r>
            <w:r w:rsidRPr="00817582">
              <w:t>onfidensintervall [CI], 18,7–30,5 måneder) for pasienter behandlet med Onureg versus 14,8 måneder (95 % KI, 11,7-17,6 måneder) for de som ble behandlet med placebo (hazard ratio [HR], 0,69; 95 % KI, 0,5-0,86; P &lt; 0,001).</w:t>
            </w:r>
            <w:r w:rsidR="00F4468B">
              <w:rPr>
                <w:vertAlign w:val="superscript"/>
              </w:rPr>
              <w:t>5</w:t>
            </w:r>
            <w:r w:rsidRPr="00817582">
              <w:t xml:space="preserve"> OS-fordelen ble opprettholdt ved den påfølgende analysen med 51,7 måneder med oppfølging basert på en databaselås fra september 2020.</w:t>
            </w:r>
            <w:r w:rsidR="0046741E" w:rsidRPr="0046741E">
              <w:rPr>
                <w:vertAlign w:val="superscript"/>
              </w:rPr>
              <w:t>5</w:t>
            </w:r>
            <w:r w:rsidRPr="00817582">
              <w:t xml:space="preserve"> (Median OS forble 24,7 måneder og 14,8 måneder, med OS-rater ved 3 år på 37,4 % og 27,9 % </w:t>
            </w:r>
            <w:r w:rsidR="000E19CC" w:rsidRPr="00817582">
              <w:t xml:space="preserve">[95 % KI, </w:t>
            </w:r>
            <w:r w:rsidR="000E19CC">
              <w:t>0,9, 18,1%</w:t>
            </w:r>
            <w:r w:rsidR="000E19CC" w:rsidRPr="00817582">
              <w:t>]</w:t>
            </w:r>
            <w:r w:rsidRPr="00817582">
              <w:t>, for henholdsvis Onureg og placebo) .</w:t>
            </w:r>
            <w:r w:rsidR="00F4468B">
              <w:rPr>
                <w:vertAlign w:val="superscript"/>
              </w:rPr>
              <w:t>6</w:t>
            </w:r>
            <w:r w:rsidR="00CB746B">
              <w:t xml:space="preserve"> </w:t>
            </w:r>
            <w:r w:rsidR="00CB746B">
              <w:rPr>
                <w:vertAlign w:val="superscript"/>
              </w:rPr>
              <w:t xml:space="preserve"> </w:t>
            </w:r>
          </w:p>
          <w:p w14:paraId="5C75ED16" w14:textId="4983BD21" w:rsidR="001D4B32" w:rsidRDefault="00CB746B" w:rsidP="00212098">
            <w:pPr>
              <w:ind w:left="360"/>
            </w:pPr>
            <w:r>
              <w:t>OS</w:t>
            </w:r>
            <w:r w:rsidR="00F93082">
              <w:t>-rate ved</w:t>
            </w:r>
            <w:r>
              <w:t xml:space="preserve"> 5 år </w:t>
            </w:r>
            <w:r w:rsidR="00F93082">
              <w:t xml:space="preserve">på 26,2% </w:t>
            </w:r>
            <w:r w:rsidR="00DC2673">
              <w:t xml:space="preserve">og 19,2% </w:t>
            </w:r>
            <w:r w:rsidR="000E19CC" w:rsidRPr="00817582">
              <w:t xml:space="preserve">% [95 % KI, </w:t>
            </w:r>
            <w:r w:rsidR="000E19CC">
              <w:t>-1,8%,  1</w:t>
            </w:r>
            <w:r w:rsidR="00212098">
              <w:t>5,8</w:t>
            </w:r>
            <w:r w:rsidR="000E19CC">
              <w:t>%</w:t>
            </w:r>
            <w:r w:rsidR="000E19CC" w:rsidRPr="00817582">
              <w:t>], for henholdsvis Onureg og placebo</w:t>
            </w:r>
            <w:r w:rsidR="00044C33">
              <w:t>.</w:t>
            </w:r>
            <w:r w:rsidR="00F4468B">
              <w:rPr>
                <w:vertAlign w:val="superscript"/>
              </w:rPr>
              <w:t xml:space="preserve"> 6</w:t>
            </w:r>
          </w:p>
          <w:p w14:paraId="70E0815B" w14:textId="77777777" w:rsidR="00651108" w:rsidRDefault="00651108" w:rsidP="00227897"/>
          <w:p w14:paraId="2F239194" w14:textId="77777777" w:rsidR="00F7225D" w:rsidRDefault="00F7225D" w:rsidP="00F7225D">
            <w:pPr>
              <w:pStyle w:val="ListParagraph"/>
              <w:numPr>
                <w:ilvl w:val="0"/>
                <w:numId w:val="14"/>
              </w:numPr>
              <w:rPr>
                <w:b/>
                <w:bCs/>
              </w:rPr>
            </w:pPr>
            <w:r w:rsidRPr="00576257">
              <w:rPr>
                <w:b/>
                <w:bCs/>
              </w:rPr>
              <w:t xml:space="preserve">Bristol Myers Squibb </w:t>
            </w:r>
            <w:r w:rsidR="00FF0A2B" w:rsidRPr="00576257">
              <w:rPr>
                <w:b/>
                <w:bCs/>
              </w:rPr>
              <w:t>vil</w:t>
            </w:r>
            <w:r w:rsidRPr="00576257">
              <w:rPr>
                <w:b/>
                <w:bCs/>
              </w:rPr>
              <w:t xml:space="preserve"> tilby en kostnadseffektiv pris</w:t>
            </w:r>
            <w:r w:rsidR="00FF0A2B" w:rsidRPr="00576257">
              <w:rPr>
                <w:b/>
                <w:bCs/>
              </w:rPr>
              <w:t xml:space="preserve"> for Onureg sammenlignet med dagens behandling som vil oppfylle prioriteringskriteriene i Norge</w:t>
            </w:r>
          </w:p>
          <w:p w14:paraId="33BDEA52" w14:textId="56F27948" w:rsidR="006A325A" w:rsidRPr="006A325A" w:rsidRDefault="006A325A" w:rsidP="006A325A">
            <w:pPr>
              <w:rPr>
                <w:b/>
                <w:bCs/>
              </w:rPr>
            </w:pPr>
          </w:p>
        </w:tc>
      </w:tr>
    </w:tbl>
    <w:p w14:paraId="44BA2640" w14:textId="77777777" w:rsidR="00D53539" w:rsidRDefault="00D1082E" w:rsidP="003E11D8">
      <w:pPr>
        <w:rPr>
          <w:b/>
        </w:rPr>
      </w:pPr>
      <w:r>
        <w:rPr>
          <w:b/>
        </w:rPr>
        <w:lastRenderedPageBreak/>
        <w:br/>
      </w:r>
    </w:p>
    <w:p w14:paraId="37F83A09" w14:textId="23799B8B" w:rsidR="00C354DD" w:rsidRDefault="00C354DD" w:rsidP="003E11D8">
      <w:pPr>
        <w:rPr>
          <w:b/>
        </w:rPr>
      </w:pPr>
      <w:r w:rsidRPr="00C354DD">
        <w:rPr>
          <w:b/>
        </w:rPr>
        <w:t>Nærmere informasjon om metoden</w:t>
      </w:r>
      <w:r w:rsidR="002879D8">
        <w:rPr>
          <w:b/>
        </w:rPr>
        <w:t xml:space="preserve"> og innspill til PICO</w:t>
      </w:r>
      <w:r w:rsidR="00702941">
        <w:rPr>
          <w:b/>
        </w:rPr>
        <w:t>*</w:t>
      </w:r>
    </w:p>
    <w:p w14:paraId="0B50EE81" w14:textId="4B71869E" w:rsidR="00B86B26" w:rsidRPr="00B86B26" w:rsidRDefault="00B86B26" w:rsidP="003E11D8">
      <w:pPr>
        <w:rPr>
          <w:sz w:val="16"/>
          <w:szCs w:val="16"/>
        </w:rPr>
      </w:pPr>
      <w:r w:rsidRPr="00D1082E">
        <w:rPr>
          <w:sz w:val="16"/>
          <w:szCs w:val="16"/>
        </w:rPr>
        <w:t>*PICO er et verktøy for å formulere presise problemstillinger i metodevurderingsarbeid. PICO er en forkortelse for Population/Problem – Intervention – Comparison – Outcome. PICO brukes til å presisere hvilken populasjon/problem som skal studeres, hvilke(t) tiltak (metode/behandling) som skal vurderes, hvilket tiltak</w:t>
      </w:r>
      <w:r w:rsidRPr="00D1082E">
        <w:rPr>
          <w:strike/>
          <w:sz w:val="16"/>
          <w:szCs w:val="16"/>
        </w:rPr>
        <w:t xml:space="preserve"> </w:t>
      </w:r>
      <w:r w:rsidRPr="00D1082E">
        <w:rPr>
          <w:sz w:val="16"/>
          <w:szCs w:val="16"/>
        </w:rPr>
        <w:t xml:space="preserve">det er naturlig å sammenligne med, og hvilke utfall/endepunkter det </w:t>
      </w:r>
      <w:r w:rsidRPr="00D1082E">
        <w:rPr>
          <w:strike/>
          <w:sz w:val="16"/>
          <w:szCs w:val="16"/>
        </w:rPr>
        <w:t>å</w:t>
      </w:r>
      <w:r w:rsidRPr="00D1082E">
        <w:rPr>
          <w:sz w:val="16"/>
          <w:szCs w:val="16"/>
        </w:rPr>
        <w:t xml:space="preserve"> er relevant å måle/vurdere. PICO er viktig for planlegging og gjennomføring av en metodevurdering.</w:t>
      </w:r>
    </w:p>
    <w:tbl>
      <w:tblPr>
        <w:tblStyle w:val="TableGrid"/>
        <w:tblW w:w="0" w:type="auto"/>
        <w:tblLook w:val="04A0" w:firstRow="1" w:lastRow="0" w:firstColumn="1" w:lastColumn="0" w:noHBand="0" w:noVBand="1"/>
      </w:tblPr>
      <w:tblGrid>
        <w:gridCol w:w="8926"/>
      </w:tblGrid>
      <w:tr w:rsidR="003E11D8" w14:paraId="04D0DCDE" w14:textId="77777777" w:rsidTr="007F39C3">
        <w:tc>
          <w:tcPr>
            <w:tcW w:w="8926" w:type="dxa"/>
          </w:tcPr>
          <w:p w14:paraId="48D74076" w14:textId="2223CAC0" w:rsidR="003E11D8" w:rsidRDefault="00702941" w:rsidP="00D1082E">
            <w:pPr>
              <w:pStyle w:val="Heading3"/>
              <w:spacing w:after="240"/>
              <w:jc w:val="both"/>
              <w:outlineLvl w:val="2"/>
            </w:pPr>
            <w:r w:rsidRPr="0091218A">
              <w:rPr>
                <w:color w:val="auto"/>
              </w:rPr>
              <w:t>4</w:t>
            </w:r>
            <w:r w:rsidR="00CE205A" w:rsidRPr="0091218A">
              <w:rPr>
                <w:color w:val="auto"/>
              </w:rPr>
              <w:t>. Kjenner du til</w:t>
            </w:r>
            <w:r w:rsidR="003E11D8" w:rsidRPr="0091218A">
              <w:rPr>
                <w:color w:val="auto"/>
              </w:rPr>
              <w:t xml:space="preserve"> </w:t>
            </w:r>
            <w:r w:rsidR="004C5BF6" w:rsidRPr="0091218A">
              <w:rPr>
                <w:color w:val="auto"/>
              </w:rPr>
              <w:t xml:space="preserve">om </w:t>
            </w:r>
            <w:r w:rsidR="003E11D8" w:rsidRPr="0091218A">
              <w:rPr>
                <w:color w:val="auto"/>
              </w:rPr>
              <w:t>metoden</w:t>
            </w:r>
            <w:r w:rsidR="00CE205A" w:rsidRPr="0091218A">
              <w:rPr>
                <w:color w:val="auto"/>
              </w:rPr>
              <w:t xml:space="preserve"> er i bruk</w:t>
            </w:r>
            <w:r w:rsidR="003E11D8" w:rsidRPr="0091218A">
              <w:rPr>
                <w:color w:val="auto"/>
              </w:rPr>
              <w:t xml:space="preserve"> i Norge i dag?</w:t>
            </w:r>
            <w:r w:rsidR="003E11D8" w:rsidRPr="001143A3">
              <w:t xml:space="preserve"> </w:t>
            </w:r>
          </w:p>
        </w:tc>
      </w:tr>
      <w:tr w:rsidR="003E11D8" w14:paraId="6FAB4BB9" w14:textId="77777777" w:rsidTr="007F39C3">
        <w:trPr>
          <w:trHeight w:val="859"/>
        </w:trPr>
        <w:tc>
          <w:tcPr>
            <w:tcW w:w="8926" w:type="dxa"/>
          </w:tcPr>
          <w:p w14:paraId="5BB5D6A3" w14:textId="5744E6A8" w:rsidR="003E11D8" w:rsidRDefault="005079D3" w:rsidP="0086697D">
            <w:r>
              <w:t>Er</w:t>
            </w:r>
            <w:r w:rsidR="003E11D8">
              <w:t xml:space="preserve"> </w:t>
            </w:r>
            <w:r>
              <w:t xml:space="preserve">metoden </w:t>
            </w:r>
            <w:r w:rsidR="003E11D8">
              <w:t>i bruk</w:t>
            </w:r>
            <w:r>
              <w:t xml:space="preserve"> </w:t>
            </w:r>
            <w:r w:rsidR="004C5BF6">
              <w:t xml:space="preserve">utenom kliniske studier </w:t>
            </w:r>
            <w:r>
              <w:t>i dag</w:t>
            </w:r>
            <w:r w:rsidR="003E11D8">
              <w:t>:</w:t>
            </w:r>
            <w:r w:rsidR="00913012">
              <w:t xml:space="preserve">  </w:t>
            </w:r>
            <w:r w:rsidR="00913012" w:rsidRPr="00913012">
              <w:rPr>
                <w:b/>
                <w:bCs/>
              </w:rPr>
              <w:t xml:space="preserve"> Nei</w:t>
            </w:r>
          </w:p>
          <w:p w14:paraId="69F80893" w14:textId="77777777" w:rsidR="003E11D8" w:rsidRDefault="005079D3" w:rsidP="0086697D">
            <w:r>
              <w:t>Fra hvilket tidspunkt har den</w:t>
            </w:r>
            <w:r w:rsidR="003E11D8">
              <w:t xml:space="preserve"> vært i bruk:</w:t>
            </w:r>
          </w:p>
          <w:p w14:paraId="6B6DD5AD" w14:textId="5B2E05ED" w:rsidR="003E11D8" w:rsidRDefault="00C81243" w:rsidP="0086697D">
            <w:r>
              <w:t>Hvor er eventuelt metoden</w:t>
            </w:r>
            <w:r w:rsidR="005079D3">
              <w:t xml:space="preserve"> i bruk:</w:t>
            </w:r>
          </w:p>
        </w:tc>
      </w:tr>
    </w:tbl>
    <w:p w14:paraId="2CEEA5E5" w14:textId="77777777" w:rsidR="00D53539" w:rsidRPr="00D53539" w:rsidRDefault="00D53539" w:rsidP="003E11D8">
      <w:pPr>
        <w:rPr>
          <w:sz w:val="16"/>
          <w:szCs w:val="16"/>
        </w:rPr>
      </w:pPr>
    </w:p>
    <w:tbl>
      <w:tblPr>
        <w:tblStyle w:val="TableGrid"/>
        <w:tblW w:w="0" w:type="auto"/>
        <w:tblLook w:val="04A0" w:firstRow="1" w:lastRow="0" w:firstColumn="1" w:lastColumn="0" w:noHBand="0" w:noVBand="1"/>
      </w:tblPr>
      <w:tblGrid>
        <w:gridCol w:w="8926"/>
      </w:tblGrid>
      <w:tr w:rsidR="00643E8D" w14:paraId="63929A32" w14:textId="77777777" w:rsidTr="007F39C3">
        <w:tc>
          <w:tcPr>
            <w:tcW w:w="8926" w:type="dxa"/>
          </w:tcPr>
          <w:p w14:paraId="08E5664F" w14:textId="172517FB" w:rsidR="00643E8D" w:rsidRDefault="00702941" w:rsidP="0091218A">
            <w:pPr>
              <w:pStyle w:val="Heading3"/>
              <w:spacing w:after="240"/>
              <w:jc w:val="both"/>
              <w:outlineLvl w:val="2"/>
            </w:pPr>
            <w:r>
              <w:rPr>
                <w:color w:val="auto"/>
              </w:rPr>
              <w:t>5</w:t>
            </w:r>
            <w:r w:rsidR="00643E8D" w:rsidRPr="001143A3">
              <w:rPr>
                <w:color w:val="auto"/>
              </w:rPr>
              <w:t xml:space="preserve">. </w:t>
            </w:r>
            <w:r>
              <w:rPr>
                <w:color w:val="auto"/>
              </w:rPr>
              <w:t>Hvilken pasientgruppe</w:t>
            </w:r>
            <w:r w:rsidR="00643E8D">
              <w:rPr>
                <w:color w:val="auto"/>
              </w:rPr>
              <w:t xml:space="preserve"> i den </w:t>
            </w:r>
            <w:r w:rsidR="00643E8D" w:rsidRPr="001143A3">
              <w:rPr>
                <w:color w:val="auto"/>
              </w:rPr>
              <w:t>norske spesialisthelsetjenesten</w:t>
            </w:r>
            <w:r w:rsidR="00643E8D">
              <w:rPr>
                <w:color w:val="auto"/>
              </w:rPr>
              <w:t xml:space="preserve"> er metoden aktuell for</w:t>
            </w:r>
            <w:r w:rsidR="00643E8D" w:rsidRPr="001143A3">
              <w:rPr>
                <w:color w:val="auto"/>
              </w:rPr>
              <w:t>?</w:t>
            </w:r>
            <w:r w:rsidR="00643E8D">
              <w:rPr>
                <w:color w:val="auto"/>
              </w:rPr>
              <w:t xml:space="preserve"> (</w:t>
            </w:r>
            <w:r w:rsidR="00643E8D" w:rsidRPr="00885EFB">
              <w:rPr>
                <w:color w:val="auto"/>
                <w:u w:val="single"/>
              </w:rPr>
              <w:t>P</w:t>
            </w:r>
            <w:r w:rsidR="00643E8D">
              <w:rPr>
                <w:color w:val="auto"/>
              </w:rPr>
              <w:t>ICO)</w:t>
            </w:r>
          </w:p>
        </w:tc>
      </w:tr>
      <w:tr w:rsidR="00643E8D" w14:paraId="3110D1F4" w14:textId="77777777" w:rsidTr="007F39C3">
        <w:trPr>
          <w:trHeight w:val="501"/>
        </w:trPr>
        <w:tc>
          <w:tcPr>
            <w:tcW w:w="8926" w:type="dxa"/>
          </w:tcPr>
          <w:p w14:paraId="0A326488" w14:textId="1B4FEF19" w:rsidR="00643E8D" w:rsidRDefault="00E10066" w:rsidP="00276A38">
            <w:r>
              <w:t>B</w:t>
            </w:r>
            <w:r w:rsidR="00643E8D">
              <w:t>eskriv kortfattet:</w:t>
            </w:r>
            <w:r w:rsidR="00913012">
              <w:t xml:space="preserve">  </w:t>
            </w:r>
          </w:p>
          <w:p w14:paraId="4BCF17CD" w14:textId="2946C0E0" w:rsidR="00AB21B9" w:rsidRDefault="008E2A4A" w:rsidP="00276A38">
            <w:r>
              <w:t xml:space="preserve">Til behandling av voksne pasienter med AML som oppnår komplett </w:t>
            </w:r>
            <w:r w:rsidR="00577C0C">
              <w:t>remisjon</w:t>
            </w:r>
            <w:r>
              <w:t xml:space="preserve"> (CR) etter </w:t>
            </w:r>
            <w:r w:rsidR="005932FB">
              <w:t>komplett remisjon uten fullstendig blodtelling</w:t>
            </w:r>
            <w:r w:rsidR="004B2DAD">
              <w:t xml:space="preserve"> (CRi)</w:t>
            </w:r>
            <w:r w:rsidR="00982939">
              <w:t xml:space="preserve"> etter</w:t>
            </w:r>
            <w:r w:rsidR="004B2DAD">
              <w:t xml:space="preserve"> </w:t>
            </w:r>
            <w:r>
              <w:t xml:space="preserve">induksjonsbehandling, med eller uten konsolideringsbehandling, og som ikke </w:t>
            </w:r>
            <w:r w:rsidR="00197820">
              <w:t>kan få</w:t>
            </w:r>
            <w:r>
              <w:t xml:space="preserve"> stamcelletransplantasjon (ref. innspill fra MT-innehaver).</w:t>
            </w:r>
          </w:p>
          <w:p w14:paraId="4C7D130B" w14:textId="77777777" w:rsidR="008E2A4A" w:rsidRDefault="008E2A4A" w:rsidP="00276A38">
            <w:pPr>
              <w:rPr>
                <w:sz w:val="27"/>
                <w:szCs w:val="27"/>
              </w:rPr>
            </w:pPr>
          </w:p>
          <w:p w14:paraId="4A476C41" w14:textId="08D1F23D" w:rsidR="00DD399A" w:rsidRDefault="001478F3" w:rsidP="00276A38">
            <w:r>
              <w:lastRenderedPageBreak/>
              <w:t xml:space="preserve">Sykdomsbeskrivelse og pasientgrunnlag Akutt myelogen leukemi (AML) er en form for blodkreft der umodne blodceller (myeloblaster) i beinmargen vokser og deler seg uhemmet. Den ukontrollerte celledelingen av disse umodne og lite funksjonelle cellene fortrenger og forstyrrer produksjonen av normale hvite og røde blodlegemer samt blodplater, og det oppstår beinmargssvikt med risiko for anemi, infeksjoner og blødninger. Ved høyt antall kreftceller kan organinfiltrasjon forekomme. Som regel fremgår ikke noen klar årsak for utviklingen av AML, men det er kjent at eksponering for radioaktiv stråling, cellegift eller sigarettrøyking kan være medvirkende faktorer. AML er en svært heterogen sykdom, der den karakteristiske overproduksjonen av umodne blodceller kan tilskrives ulike genetiske avvik som endrer de normale mekanismene for cellevekst og celledeling. Hvilke genetiske avvik som er tilstede er predikerende for prognose og til dels styrende for valg av behandling. </w:t>
            </w:r>
            <w:r w:rsidRPr="008D79DA">
              <w:t>Det diagnostiseres om lag 150 nye tilfeller av AML i Norge årlig, og median alder ved diagnosetidsp</w:t>
            </w:r>
            <w:r w:rsidR="00E44118" w:rsidRPr="008D79DA">
              <w:t>unkt</w:t>
            </w:r>
            <w:r w:rsidR="00E93F42" w:rsidRPr="008D79DA">
              <w:t xml:space="preserve"> er</w:t>
            </w:r>
            <w:r w:rsidR="00470B2E">
              <w:t xml:space="preserve"> ca.</w:t>
            </w:r>
            <w:r w:rsidR="00E93F42" w:rsidRPr="008D79DA">
              <w:t xml:space="preserve"> </w:t>
            </w:r>
            <w:r w:rsidR="008D79DA" w:rsidRPr="008D79DA">
              <w:t>56</w:t>
            </w:r>
            <w:r w:rsidR="008D79DA">
              <w:t xml:space="preserve"> år.</w:t>
            </w:r>
          </w:p>
        </w:tc>
      </w:tr>
    </w:tbl>
    <w:p w14:paraId="4438F0FD" w14:textId="77777777" w:rsidR="00702941" w:rsidRDefault="00702941"/>
    <w:tbl>
      <w:tblPr>
        <w:tblStyle w:val="TableGrid"/>
        <w:tblW w:w="0" w:type="auto"/>
        <w:tblLook w:val="04A0" w:firstRow="1" w:lastRow="0" w:firstColumn="1" w:lastColumn="0" w:noHBand="0" w:noVBand="1"/>
      </w:tblPr>
      <w:tblGrid>
        <w:gridCol w:w="8926"/>
      </w:tblGrid>
      <w:tr w:rsidR="003E11D8" w14:paraId="63FC1370" w14:textId="77777777" w:rsidTr="007F39C3">
        <w:tc>
          <w:tcPr>
            <w:tcW w:w="8926" w:type="dxa"/>
          </w:tcPr>
          <w:p w14:paraId="1E209B8C" w14:textId="0DC26343" w:rsidR="003E11D8" w:rsidRDefault="00702941" w:rsidP="0091218A">
            <w:pPr>
              <w:pStyle w:val="Heading3"/>
              <w:spacing w:after="240"/>
              <w:jc w:val="both"/>
              <w:outlineLvl w:val="2"/>
            </w:pPr>
            <w:r>
              <w:rPr>
                <w:color w:val="auto"/>
              </w:rPr>
              <w:t>6</w:t>
            </w:r>
            <w:r w:rsidR="00643E8D">
              <w:rPr>
                <w:color w:val="auto"/>
              </w:rPr>
              <w:t>.</w:t>
            </w:r>
            <w:r>
              <w:rPr>
                <w:color w:val="auto"/>
              </w:rPr>
              <w:t xml:space="preserve"> Er du </w:t>
            </w:r>
            <w:r w:rsidR="003E11D8" w:rsidRPr="001143A3">
              <w:rPr>
                <w:color w:val="auto"/>
              </w:rPr>
              <w:t>kjent med behandlingsalternativer til</w:t>
            </w:r>
            <w:r w:rsidR="009C40CB">
              <w:rPr>
                <w:color w:val="auto"/>
              </w:rPr>
              <w:t xml:space="preserve"> denne</w:t>
            </w:r>
            <w:r w:rsidR="003E11D8" w:rsidRPr="001143A3">
              <w:rPr>
                <w:color w:val="auto"/>
              </w:rPr>
              <w:t xml:space="preserve"> metoden </w:t>
            </w:r>
            <w:r w:rsidR="00C354DD">
              <w:rPr>
                <w:color w:val="auto"/>
              </w:rPr>
              <w:t>og hvordan disse fungerer</w:t>
            </w:r>
            <w:r w:rsidR="009C40CB">
              <w:rPr>
                <w:color w:val="auto"/>
              </w:rPr>
              <w:t xml:space="preserve"> for pasientgruppen</w:t>
            </w:r>
            <w:r>
              <w:rPr>
                <w:color w:val="auto"/>
              </w:rPr>
              <w:t xml:space="preserve"> i dag</w:t>
            </w:r>
            <w:r w:rsidR="009C40CB">
              <w:rPr>
                <w:color w:val="auto"/>
              </w:rPr>
              <w:t>?</w:t>
            </w:r>
            <w:r w:rsidR="0025054C">
              <w:rPr>
                <w:color w:val="auto"/>
              </w:rPr>
              <w:t xml:space="preserve"> (</w:t>
            </w:r>
            <w:r w:rsidR="0025054C" w:rsidRPr="002879D8">
              <w:rPr>
                <w:color w:val="auto"/>
              </w:rPr>
              <w:t>PI</w:t>
            </w:r>
            <w:r w:rsidR="0025054C" w:rsidRPr="008B4F91">
              <w:rPr>
                <w:color w:val="auto"/>
                <w:u w:val="single"/>
              </w:rPr>
              <w:t>C</w:t>
            </w:r>
            <w:r w:rsidR="0025054C" w:rsidRPr="002879D8">
              <w:rPr>
                <w:color w:val="auto"/>
              </w:rPr>
              <w:t>O</w:t>
            </w:r>
            <w:r w:rsidR="0025054C">
              <w:rPr>
                <w:color w:val="auto"/>
              </w:rPr>
              <w:t>)</w:t>
            </w:r>
          </w:p>
        </w:tc>
      </w:tr>
      <w:tr w:rsidR="003E11D8" w14:paraId="2D13E9C4" w14:textId="77777777" w:rsidTr="007F39C3">
        <w:trPr>
          <w:trHeight w:val="406"/>
        </w:trPr>
        <w:tc>
          <w:tcPr>
            <w:tcW w:w="8926" w:type="dxa"/>
          </w:tcPr>
          <w:p w14:paraId="2C2E3351" w14:textId="77777777" w:rsidR="00A80292" w:rsidRDefault="00E10066" w:rsidP="00C61ECA">
            <w:r>
              <w:t>B</w:t>
            </w:r>
            <w:r w:rsidR="003E11D8">
              <w:t>eskriv kortfattet:</w:t>
            </w:r>
            <w:r w:rsidR="00A724DD">
              <w:t xml:space="preserve"> </w:t>
            </w:r>
          </w:p>
          <w:p w14:paraId="48B14817" w14:textId="1DDC408B" w:rsidR="0091218A" w:rsidRDefault="00A846A8" w:rsidP="00640551">
            <w:pPr>
              <w:pStyle w:val="ListParagraph"/>
              <w:numPr>
                <w:ilvl w:val="0"/>
                <w:numId w:val="12"/>
              </w:numPr>
            </w:pPr>
            <w:r>
              <w:t>Ingen annen godkjent beh</w:t>
            </w:r>
            <w:r w:rsidR="004B45BA">
              <w:t>a</w:t>
            </w:r>
            <w:r>
              <w:t>ndling</w:t>
            </w:r>
            <w:r w:rsidR="008C4F86">
              <w:t xml:space="preserve"> for denne pasient</w:t>
            </w:r>
            <w:r w:rsidR="008116C7">
              <w:t>gruppen</w:t>
            </w:r>
            <w:r w:rsidR="004B45BA">
              <w:t>.</w:t>
            </w:r>
          </w:p>
          <w:p w14:paraId="4AD6CA18" w14:textId="682FC29B" w:rsidR="006A0786" w:rsidRPr="003A2A82" w:rsidRDefault="006A0786" w:rsidP="004A0F77">
            <w:pPr>
              <w:pStyle w:val="ListParagraph"/>
              <w:ind w:left="360"/>
              <w:rPr>
                <w:rFonts w:cstheme="minorHAnsi"/>
              </w:rPr>
            </w:pPr>
          </w:p>
        </w:tc>
      </w:tr>
    </w:tbl>
    <w:p w14:paraId="70F4CB22" w14:textId="0A7470A3" w:rsidR="00C354DD" w:rsidRDefault="00C354DD"/>
    <w:tbl>
      <w:tblPr>
        <w:tblStyle w:val="TableGrid"/>
        <w:tblW w:w="0" w:type="auto"/>
        <w:tblLook w:val="04A0" w:firstRow="1" w:lastRow="0" w:firstColumn="1" w:lastColumn="0" w:noHBand="0" w:noVBand="1"/>
      </w:tblPr>
      <w:tblGrid>
        <w:gridCol w:w="8926"/>
      </w:tblGrid>
      <w:tr w:rsidR="0025054C" w14:paraId="12B87190" w14:textId="77777777" w:rsidTr="007F39C3">
        <w:tc>
          <w:tcPr>
            <w:tcW w:w="8926" w:type="dxa"/>
          </w:tcPr>
          <w:p w14:paraId="3508191E" w14:textId="23C6B215" w:rsidR="008B4F91" w:rsidRPr="002B3123" w:rsidRDefault="00B17578" w:rsidP="002B3123">
            <w:pPr>
              <w:pStyle w:val="Heading3"/>
              <w:spacing w:after="240"/>
              <w:outlineLvl w:val="2"/>
              <w:rPr>
                <w:color w:val="auto"/>
              </w:rPr>
            </w:pPr>
            <w:r>
              <w:rPr>
                <w:color w:val="auto"/>
              </w:rPr>
              <w:t>7</w:t>
            </w:r>
            <w:r w:rsidR="0025054C" w:rsidRPr="001143A3">
              <w:rPr>
                <w:color w:val="auto"/>
              </w:rPr>
              <w:t xml:space="preserve">. </w:t>
            </w:r>
            <w:r w:rsidR="0025054C">
              <w:rPr>
                <w:color w:val="auto"/>
              </w:rPr>
              <w:t>Har du innspill til hva som vil være viktig for</w:t>
            </w:r>
            <w:r w:rsidR="00643E8D">
              <w:rPr>
                <w:color w:val="auto"/>
              </w:rPr>
              <w:t xml:space="preserve"> pasienter som er aktuelle for </w:t>
            </w:r>
            <w:r w:rsidR="00A132A8">
              <w:rPr>
                <w:color w:val="auto"/>
              </w:rPr>
              <w:t xml:space="preserve"> </w:t>
            </w:r>
            <w:r w:rsidR="00643E8D">
              <w:rPr>
                <w:color w:val="auto"/>
              </w:rPr>
              <w:t>behandling med metoden?</w:t>
            </w:r>
            <w:r w:rsidR="0025054C">
              <w:rPr>
                <w:color w:val="auto"/>
              </w:rPr>
              <w:t xml:space="preserve"> (</w:t>
            </w:r>
            <w:r w:rsidR="0025054C" w:rsidRPr="008B4F91">
              <w:rPr>
                <w:color w:val="auto"/>
              </w:rPr>
              <w:t>PIC</w:t>
            </w:r>
            <w:r w:rsidR="0025054C" w:rsidRPr="008B4F91">
              <w:rPr>
                <w:color w:val="auto"/>
                <w:u w:val="single"/>
              </w:rPr>
              <w:t>O</w:t>
            </w:r>
            <w:r w:rsidR="0025054C" w:rsidRPr="008B4F91">
              <w:rPr>
                <w:color w:val="auto"/>
              </w:rPr>
              <w:t>)</w:t>
            </w:r>
          </w:p>
        </w:tc>
      </w:tr>
      <w:tr w:rsidR="0025054C" w14:paraId="2285AD35" w14:textId="77777777" w:rsidTr="007F39C3">
        <w:trPr>
          <w:trHeight w:val="501"/>
        </w:trPr>
        <w:tc>
          <w:tcPr>
            <w:tcW w:w="8926" w:type="dxa"/>
          </w:tcPr>
          <w:p w14:paraId="2BDF3E31" w14:textId="77777777" w:rsidR="009B6C34" w:rsidRDefault="002B3123" w:rsidP="00643E8D">
            <w:r w:rsidRPr="009B6C34">
              <w:t xml:space="preserve">Hva kan oppfattes som en fordel for pasienter og brukere med denne metoden sammenlignet med aktuelle alternativer? Hvilke endepunkter/resultater av behandlingen er det aktuelt å måle? </w:t>
            </w:r>
            <w:r w:rsidR="008B4F91" w:rsidRPr="009B6C34">
              <w:t>Beskriv kortfattet:</w:t>
            </w:r>
          </w:p>
          <w:p w14:paraId="2CD52761" w14:textId="2B16309E" w:rsidR="000D763C" w:rsidRDefault="009B6C34" w:rsidP="00643E8D">
            <w:r>
              <w:t>D</w:t>
            </w:r>
            <w:r w:rsidRPr="009B6C34">
              <w:t>e betydelige psykologiske, sosiale og fysiske konsekvensen</w:t>
            </w:r>
            <w:r w:rsidR="00C63000">
              <w:t>e</w:t>
            </w:r>
            <w:r w:rsidRPr="009B6C34">
              <w:t xml:space="preserve"> av å leve med AML </w:t>
            </w:r>
            <w:r w:rsidR="00115576">
              <w:t xml:space="preserve">for </w:t>
            </w:r>
            <w:r w:rsidR="00073B6F">
              <w:t xml:space="preserve">pasienten </w:t>
            </w:r>
            <w:r w:rsidRPr="009B6C34">
              <w:t xml:space="preserve">og </w:t>
            </w:r>
            <w:r w:rsidR="00073B6F">
              <w:t>deres pårørende,</w:t>
            </w:r>
            <w:r w:rsidR="00475048">
              <w:t xml:space="preserve"> er stor</w:t>
            </w:r>
            <w:r w:rsidRPr="009B6C34">
              <w:t xml:space="preserve">. </w:t>
            </w:r>
            <w:r w:rsidR="00AF4498">
              <w:t>D</w:t>
            </w:r>
            <w:r w:rsidRPr="009B6C34">
              <w:t>et å bli diagnostisert med AML og potensielle utsikter til å leve i bare noen få måneder, h</w:t>
            </w:r>
            <w:r w:rsidR="00AF4498">
              <w:t>ar</w:t>
            </w:r>
            <w:r w:rsidRPr="009B6C34">
              <w:t xml:space="preserve"> en betydelig følelsesmessig innvirkning p</w:t>
            </w:r>
            <w:r w:rsidR="00AA1820">
              <w:t>å pasient og pårørende</w:t>
            </w:r>
            <w:r w:rsidRPr="009B6C34">
              <w:t xml:space="preserve">. </w:t>
            </w:r>
            <w:r w:rsidR="00AA1820">
              <w:t>I</w:t>
            </w:r>
            <w:r w:rsidRPr="009B6C34">
              <w:t xml:space="preserve">ntensiv kjemoterapi er forbundet med sykelighet og hver behandlingssyklus krever et lengre sykehusopphold over flere uker. </w:t>
            </w:r>
            <w:r w:rsidR="00D33FFD">
              <w:t>E</w:t>
            </w:r>
            <w:r w:rsidRPr="009B6C34">
              <w:t xml:space="preserve">n persons immunsystem </w:t>
            </w:r>
            <w:r w:rsidR="00D33FFD">
              <w:t xml:space="preserve">vil </w:t>
            </w:r>
            <w:r w:rsidRPr="009B6C34">
              <w:t>sannsynligvis svekkes med kjemoterapi</w:t>
            </w:r>
            <w:r w:rsidR="00D33FFD">
              <w:t xml:space="preserve"> og</w:t>
            </w:r>
            <w:r w:rsidRPr="009B6C34">
              <w:t xml:space="preserve"> øke</w:t>
            </w:r>
            <w:r w:rsidR="00D33FFD">
              <w:t xml:space="preserve"> </w:t>
            </w:r>
            <w:r w:rsidRPr="009B6C34">
              <w:t>sannsynligheten for livstruende infeksjon</w:t>
            </w:r>
            <w:r w:rsidR="00D33FFD">
              <w:t>er</w:t>
            </w:r>
            <w:r w:rsidR="006B422B">
              <w:t>.</w:t>
            </w:r>
            <w:r w:rsidRPr="009B6C34">
              <w:t xml:space="preserve"> De kliniske ekspertene </w:t>
            </w:r>
            <w:r w:rsidR="006B422B">
              <w:t>BMS har vært i kontakt med, har for</w:t>
            </w:r>
            <w:r w:rsidR="00BE6C56">
              <w:t>kl</w:t>
            </w:r>
            <w:r w:rsidR="006B422B">
              <w:t xml:space="preserve">art </w:t>
            </w:r>
            <w:r w:rsidRPr="009B6C34">
              <w:t xml:space="preserve">at for personer som er friske nok til å </w:t>
            </w:r>
            <w:r w:rsidR="00BE6C56">
              <w:t>få</w:t>
            </w:r>
            <w:r w:rsidRPr="009B6C34">
              <w:t xml:space="preserve"> intensiv kjemoterapi, er stamcelletransplantasjon fortsatt de</w:t>
            </w:r>
            <w:r w:rsidR="00EE5CD3">
              <w:t>t</w:t>
            </w:r>
            <w:r w:rsidRPr="009B6C34">
              <w:t xml:space="preserve"> mest effektive behandlingsalternativet. </w:t>
            </w:r>
          </w:p>
          <w:p w14:paraId="348D381B" w14:textId="1C5643CC" w:rsidR="008B4F91" w:rsidRDefault="000D763C" w:rsidP="00643E8D">
            <w:r>
              <w:t>B</w:t>
            </w:r>
            <w:r w:rsidR="009B6C34" w:rsidRPr="009B6C34">
              <w:t xml:space="preserve">eslutningen om å få en transplantasjon avhenger av en persons </w:t>
            </w:r>
            <w:r>
              <w:t>almenntilstand</w:t>
            </w:r>
            <w:r w:rsidR="009B6C34" w:rsidRPr="009B6C34">
              <w:t xml:space="preserve">, </w:t>
            </w:r>
            <w:r w:rsidR="00A44B88">
              <w:t xml:space="preserve">eget </w:t>
            </w:r>
            <w:r w:rsidR="009B6C34" w:rsidRPr="009B6C34">
              <w:t>valg</w:t>
            </w:r>
            <w:r w:rsidR="00A44B88">
              <w:t xml:space="preserve"> om transplantasjon</w:t>
            </w:r>
            <w:r w:rsidR="009B6C34" w:rsidRPr="009B6C34">
              <w:t>, respons på kjemoterapi og donortilgjengelighet. De kliniske ekspertene fremhevet at de fleste med AML er 6</w:t>
            </w:r>
            <w:r w:rsidR="001E1296">
              <w:t>5-70</w:t>
            </w:r>
            <w:r w:rsidR="009B6C34" w:rsidRPr="009B6C34">
              <w:t xml:space="preserve"> år og ofte ikke i stand til å få en transplantasjon på grunn av komorbiditeter og skrøpelighet. De forklarte også at det er </w:t>
            </w:r>
            <w:r w:rsidR="00732F57">
              <w:t xml:space="preserve">kan være </w:t>
            </w:r>
            <w:r w:rsidR="009B6C34" w:rsidRPr="009B6C34">
              <w:t xml:space="preserve">mangel på donortilgjengelighet for personer med etnisk minoritetsbakgrunn. Derfor kan noen personer ikke </w:t>
            </w:r>
            <w:r w:rsidR="0086649D">
              <w:t>få</w:t>
            </w:r>
            <w:r w:rsidR="009B6C34" w:rsidRPr="009B6C34">
              <w:t xml:space="preserve">, eller ikke ønsker å </w:t>
            </w:r>
            <w:r w:rsidR="0086649D">
              <w:t>få</w:t>
            </w:r>
            <w:r w:rsidR="009B6C34" w:rsidRPr="009B6C34">
              <w:t xml:space="preserve"> en stamcelletransplantasjon. De kliniske ekspertene forklarte at risikoen for tilbakefall hos personer som ikke </w:t>
            </w:r>
            <w:r w:rsidR="0086649D">
              <w:t>får</w:t>
            </w:r>
            <w:r w:rsidR="009B6C34" w:rsidRPr="009B6C34">
              <w:t xml:space="preserve"> en transplantasjon er rundt 70 % til 80 %. De la til at dette mest sannsynlig ville skje i løpet av det første året etter å ha nådd </w:t>
            </w:r>
            <w:r w:rsidR="00722C1B">
              <w:t>komplett</w:t>
            </w:r>
            <w:r w:rsidR="009B6C34" w:rsidRPr="009B6C34">
              <w:t xml:space="preserve"> remisjon. De fremhevet at det ikke er noen effektive behandlingsalternativer etter tilbakefall i denne populasjonen, og at deres prognose og livskvalitet er dårlig. </w:t>
            </w:r>
            <w:r w:rsidR="00722C1B">
              <w:t>Ekspertene</w:t>
            </w:r>
            <w:r w:rsidR="009B6C34" w:rsidRPr="009B6C34">
              <w:t xml:space="preserve"> bemerket at selv om stamcelletransplantasjoner har potensial til å være helbredende, er de assosiert med betydelig sykelighet og dødelighet. </w:t>
            </w:r>
            <w:r w:rsidR="00722C1B">
              <w:t>E</w:t>
            </w:r>
            <w:r w:rsidR="009B6C34" w:rsidRPr="009B6C34">
              <w:t>ksperten</w:t>
            </w:r>
            <w:r w:rsidR="00722C1B">
              <w:t>e</w:t>
            </w:r>
            <w:r w:rsidR="009B6C34" w:rsidRPr="009B6C34">
              <w:t xml:space="preserve"> beskrev </w:t>
            </w:r>
            <w:r w:rsidR="007A1C5D">
              <w:t>at</w:t>
            </w:r>
            <w:r w:rsidR="009B6C34" w:rsidRPr="009B6C34">
              <w:t xml:space="preserve"> stamcelletransplantasjon </w:t>
            </w:r>
            <w:r w:rsidR="004358CA">
              <w:t>kan være</w:t>
            </w:r>
            <w:r w:rsidR="009B6C34" w:rsidRPr="009B6C34">
              <w:t xml:space="preserve"> smertefull og invasiv og </w:t>
            </w:r>
            <w:r w:rsidR="007A1C5D">
              <w:t>får</w:t>
            </w:r>
            <w:r w:rsidR="009B6C34" w:rsidRPr="009B6C34">
              <w:t xml:space="preserve"> dem</w:t>
            </w:r>
            <w:r w:rsidR="004358CA">
              <w:t xml:space="preserve"> ofte</w:t>
            </w:r>
            <w:r w:rsidR="009B6C34" w:rsidRPr="009B6C34">
              <w:t xml:space="preserve"> til å føle seg for uvel til å utføre sine vanlige aktiviteter. </w:t>
            </w:r>
            <w:r w:rsidR="004358CA">
              <w:t>De</w:t>
            </w:r>
            <w:r w:rsidR="009B6C34" w:rsidRPr="009B6C34">
              <w:t xml:space="preserve"> økonomiske konsekvensene av å </w:t>
            </w:r>
            <w:r w:rsidR="004358CA">
              <w:t>få</w:t>
            </w:r>
            <w:r w:rsidR="009B6C34" w:rsidRPr="009B6C34">
              <w:t xml:space="preserve"> en transplantasjon, som regelmessig reise til sykehus og å måtte ta fri fra jobben, kan ha en betydelig innvirkning på livskvaliteten for personer med AML, deres </w:t>
            </w:r>
            <w:r w:rsidR="004038E4">
              <w:t>liv</w:t>
            </w:r>
            <w:r w:rsidR="009B6C34" w:rsidRPr="009B6C34">
              <w:t xml:space="preserve"> og </w:t>
            </w:r>
            <w:r w:rsidR="004038E4">
              <w:t>pårørende</w:t>
            </w:r>
            <w:r w:rsidR="009B6C34" w:rsidRPr="009B6C34">
              <w:t xml:space="preserve">. </w:t>
            </w:r>
            <w:r w:rsidR="004038E4">
              <w:t xml:space="preserve">Ekspertene </w:t>
            </w:r>
            <w:r w:rsidR="00703482">
              <w:t xml:space="preserve">uttrykker </w:t>
            </w:r>
            <w:r w:rsidR="009B6C34" w:rsidRPr="009B6C34">
              <w:t xml:space="preserve">at </w:t>
            </w:r>
            <w:r w:rsidR="00703482">
              <w:t>Onureg</w:t>
            </w:r>
            <w:r w:rsidR="009B6C34" w:rsidRPr="009B6C34">
              <w:t xml:space="preserve"> vil være til nytte for folk som ikke kan </w:t>
            </w:r>
            <w:r w:rsidR="00E7508E">
              <w:t>få</w:t>
            </w:r>
            <w:r w:rsidR="009B6C34" w:rsidRPr="009B6C34">
              <w:t xml:space="preserve">, eller ikke ønsker å </w:t>
            </w:r>
            <w:r w:rsidR="00E7508E">
              <w:t>få</w:t>
            </w:r>
            <w:r w:rsidR="009B6C34" w:rsidRPr="009B6C34">
              <w:t xml:space="preserve"> en stamcelletransplantasjon fordi </w:t>
            </w:r>
            <w:r w:rsidR="00E7508E">
              <w:t>Onureg</w:t>
            </w:r>
            <w:r w:rsidR="009B6C34" w:rsidRPr="009B6C34">
              <w:t xml:space="preserve"> kan tas hjemme. </w:t>
            </w:r>
            <w:r w:rsidR="00E7508E">
              <w:t xml:space="preserve">Pasienter </w:t>
            </w:r>
            <w:r w:rsidR="009B6C34" w:rsidRPr="009B6C34">
              <w:t>med AML ønske</w:t>
            </w:r>
            <w:r w:rsidR="00E7508E">
              <w:t>r</w:t>
            </w:r>
            <w:r w:rsidR="009B6C34" w:rsidRPr="009B6C34">
              <w:t xml:space="preserve"> et nytt behandlingsalternativ som </w:t>
            </w:r>
            <w:r w:rsidR="00E7508E">
              <w:t>kan</w:t>
            </w:r>
            <w:r w:rsidR="009B6C34" w:rsidRPr="009B6C34">
              <w:t xml:space="preserve"> forbedre forventet levealder og livskvalitet.</w:t>
            </w:r>
            <w:r w:rsidR="00E93F42">
              <w:t xml:space="preserve"> </w:t>
            </w:r>
          </w:p>
          <w:p w14:paraId="3D37D8D1" w14:textId="59EEADC5" w:rsidR="002B3123" w:rsidRDefault="002B3123" w:rsidP="00FA218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tc>
      </w:tr>
    </w:tbl>
    <w:p w14:paraId="5C17607C" w14:textId="77777777" w:rsidR="00643E8D" w:rsidRDefault="00643E8D"/>
    <w:tbl>
      <w:tblPr>
        <w:tblStyle w:val="TableGrid"/>
        <w:tblW w:w="0" w:type="auto"/>
        <w:tblLook w:val="04A0" w:firstRow="1" w:lastRow="0" w:firstColumn="1" w:lastColumn="0" w:noHBand="0" w:noVBand="1"/>
      </w:tblPr>
      <w:tblGrid>
        <w:gridCol w:w="8926"/>
      </w:tblGrid>
      <w:tr w:rsidR="00C354DD" w:rsidRPr="007835B6" w14:paraId="7C3AF83A" w14:textId="77777777" w:rsidTr="007F39C3">
        <w:trPr>
          <w:trHeight w:val="314"/>
        </w:trPr>
        <w:tc>
          <w:tcPr>
            <w:tcW w:w="8926" w:type="dxa"/>
          </w:tcPr>
          <w:p w14:paraId="7A21C2CC" w14:textId="079794EA" w:rsidR="002B3123" w:rsidRPr="002B3123" w:rsidRDefault="00B17578" w:rsidP="002B3123">
            <w:pPr>
              <w:pStyle w:val="Heading3"/>
              <w:spacing w:after="240"/>
              <w:outlineLvl w:val="2"/>
              <w:rPr>
                <w:color w:val="auto"/>
              </w:rPr>
            </w:pPr>
            <w:r w:rsidRPr="0091218A">
              <w:rPr>
                <w:color w:val="auto"/>
              </w:rPr>
              <w:t>8</w:t>
            </w:r>
            <w:r w:rsidR="00C354DD" w:rsidRPr="0091218A">
              <w:rPr>
                <w:color w:val="auto"/>
              </w:rPr>
              <w:t>. Spesielt for medisinsk utstyr (besvares av leverandør)</w:t>
            </w:r>
            <w:r w:rsidR="002B3123">
              <w:rPr>
                <w:color w:val="auto"/>
              </w:rPr>
              <w:t>: CE-merking</w:t>
            </w:r>
          </w:p>
        </w:tc>
      </w:tr>
      <w:tr w:rsidR="00C354DD" w:rsidRPr="00671092" w14:paraId="4F198752" w14:textId="77777777" w:rsidTr="007F39C3">
        <w:trPr>
          <w:trHeight w:val="324"/>
        </w:trPr>
        <w:tc>
          <w:tcPr>
            <w:tcW w:w="8926" w:type="dxa"/>
          </w:tcPr>
          <w:p w14:paraId="6C0403B4" w14:textId="50CBD101" w:rsidR="002B3123" w:rsidRPr="00671092" w:rsidRDefault="002B3123" w:rsidP="002B3123">
            <w:pPr>
              <w:rPr>
                <w:i/>
              </w:rPr>
            </w:pPr>
            <w:r>
              <w:t>Foreligger det CE-merking for bruksområdet som beskrives i metoden? I så fall angi type og tidspunkt:</w:t>
            </w:r>
          </w:p>
          <w:p w14:paraId="0C8B17B7" w14:textId="73835D55" w:rsidR="00821413" w:rsidRPr="00671092" w:rsidRDefault="00821413" w:rsidP="00350F86"/>
        </w:tc>
      </w:tr>
    </w:tbl>
    <w:p w14:paraId="21692557" w14:textId="77777777" w:rsidR="003E11D8" w:rsidRDefault="003E11D8" w:rsidP="003E11D8"/>
    <w:tbl>
      <w:tblPr>
        <w:tblStyle w:val="TableGrid"/>
        <w:tblW w:w="0" w:type="auto"/>
        <w:tblLook w:val="04A0" w:firstRow="1" w:lastRow="0" w:firstColumn="1" w:lastColumn="0" w:noHBand="0" w:noVBand="1"/>
      </w:tblPr>
      <w:tblGrid>
        <w:gridCol w:w="8926"/>
      </w:tblGrid>
      <w:tr w:rsidR="005079D3" w14:paraId="3DDABBD8" w14:textId="77777777" w:rsidTr="007F39C3">
        <w:tc>
          <w:tcPr>
            <w:tcW w:w="8926" w:type="dxa"/>
          </w:tcPr>
          <w:p w14:paraId="59CA3832" w14:textId="2BDC2C0B" w:rsidR="002B3123" w:rsidRPr="002B3123" w:rsidRDefault="00B17578" w:rsidP="002B3123">
            <w:pPr>
              <w:pStyle w:val="Heading3"/>
              <w:spacing w:after="240"/>
              <w:outlineLvl w:val="2"/>
              <w:rPr>
                <w:color w:val="auto"/>
              </w:rPr>
            </w:pPr>
            <w:r>
              <w:rPr>
                <w:color w:val="auto"/>
              </w:rPr>
              <w:t>9</w:t>
            </w:r>
            <w:r w:rsidR="005079D3">
              <w:rPr>
                <w:color w:val="auto"/>
              </w:rPr>
              <w:t xml:space="preserve">. Spesielt for legemidler </w:t>
            </w:r>
            <w:r w:rsidR="00C354DD">
              <w:rPr>
                <w:color w:val="auto"/>
              </w:rPr>
              <w:t>(besvares av leverandør)</w:t>
            </w:r>
            <w:r w:rsidR="002B3123">
              <w:rPr>
                <w:color w:val="auto"/>
              </w:rPr>
              <w:t>: Markedsføringstillatelse (MT)</w:t>
            </w:r>
          </w:p>
        </w:tc>
      </w:tr>
      <w:tr w:rsidR="005079D3" w14:paraId="4C9352D1" w14:textId="77777777" w:rsidTr="007F39C3">
        <w:trPr>
          <w:trHeight w:val="725"/>
        </w:trPr>
        <w:tc>
          <w:tcPr>
            <w:tcW w:w="8926" w:type="dxa"/>
          </w:tcPr>
          <w:p w14:paraId="0B65139B" w14:textId="1DA98640" w:rsidR="005079D3" w:rsidRDefault="002B3123" w:rsidP="00350F86">
            <w:r>
              <w:t>Har legemiddelet MT for indikasjonen som omfattes av metoden? Angi i så fall tidspunkt</w:t>
            </w:r>
            <w:r w:rsidR="00EF2741">
              <w:t xml:space="preserve"> eller ventet </w:t>
            </w:r>
            <w:r w:rsidR="00D1082E">
              <w:t>tidspunkt for MT</w:t>
            </w:r>
            <w:r>
              <w:t>:</w:t>
            </w:r>
            <w:r w:rsidR="00E93F42">
              <w:t xml:space="preserve"> Ja.  EMA godkjennelse 17. juni 2021.</w:t>
            </w:r>
          </w:p>
          <w:p w14:paraId="0ADFF3A9" w14:textId="77777777" w:rsidR="009C40CB" w:rsidRDefault="009C40CB" w:rsidP="00350F86"/>
        </w:tc>
      </w:tr>
    </w:tbl>
    <w:p w14:paraId="4ADCED26" w14:textId="77777777" w:rsidR="00C354DD" w:rsidRDefault="00C354DD"/>
    <w:tbl>
      <w:tblPr>
        <w:tblStyle w:val="TableGrid"/>
        <w:tblW w:w="9067" w:type="dxa"/>
        <w:tblLook w:val="04A0" w:firstRow="1" w:lastRow="0" w:firstColumn="1" w:lastColumn="0" w:noHBand="0" w:noVBand="1"/>
      </w:tblPr>
      <w:tblGrid>
        <w:gridCol w:w="9067"/>
      </w:tblGrid>
      <w:tr w:rsidR="003E11D8" w14:paraId="665DA656" w14:textId="77777777" w:rsidTr="007F39C3">
        <w:tc>
          <w:tcPr>
            <w:tcW w:w="9067" w:type="dxa"/>
          </w:tcPr>
          <w:p w14:paraId="1882A0C0" w14:textId="489CB5D9" w:rsidR="003E11D8" w:rsidRDefault="00B17578" w:rsidP="00821413">
            <w:pPr>
              <w:pStyle w:val="Heading3"/>
              <w:spacing w:after="240"/>
              <w:outlineLvl w:val="2"/>
            </w:pPr>
            <w:r>
              <w:rPr>
                <w:color w:val="auto"/>
              </w:rPr>
              <w:t>10</w:t>
            </w:r>
            <w:r w:rsidR="008B4F91">
              <w:rPr>
                <w:color w:val="auto"/>
              </w:rPr>
              <w:t>. Andre kommentarer</w:t>
            </w:r>
          </w:p>
        </w:tc>
      </w:tr>
      <w:tr w:rsidR="003E11D8" w14:paraId="25DA1048" w14:textId="77777777" w:rsidTr="007F39C3">
        <w:trPr>
          <w:trHeight w:val="601"/>
        </w:trPr>
        <w:tc>
          <w:tcPr>
            <w:tcW w:w="9067" w:type="dxa"/>
          </w:tcPr>
          <w:p w14:paraId="53FF38EA" w14:textId="77777777" w:rsidR="002B1201" w:rsidRDefault="00A828EC" w:rsidP="002B1201">
            <w:pPr>
              <w:pStyle w:val="ListParagraph"/>
              <w:numPr>
                <w:ilvl w:val="0"/>
                <w:numId w:val="9"/>
              </w:numPr>
            </w:pPr>
            <w:r>
              <w:t xml:space="preserve">European Medicines Agency (hentet 06.10.2020). Tilgjengelig fra:https://www.ema.europa.eu/en/documents/agenda/agenda-chmpagenda-14-17-september-2020_en.pdf </w:t>
            </w:r>
          </w:p>
          <w:p w14:paraId="49493D2C" w14:textId="77777777" w:rsidR="002B1201" w:rsidRDefault="00A828EC" w:rsidP="002B1201">
            <w:pPr>
              <w:pStyle w:val="ListParagraph"/>
              <w:numPr>
                <w:ilvl w:val="0"/>
                <w:numId w:val="9"/>
              </w:numPr>
            </w:pPr>
            <w:r>
              <w:t xml:space="preserve">Specialist Pharmacy Services (hentet 06.10.2020). Tilgjengelig fra: https://www.sps.nhs.uk/medicines/azacitidine/ </w:t>
            </w:r>
          </w:p>
          <w:p w14:paraId="24CB5E44" w14:textId="77777777" w:rsidR="0043681F" w:rsidRDefault="00A828EC" w:rsidP="002B1201">
            <w:pPr>
              <w:pStyle w:val="ListParagraph"/>
              <w:numPr>
                <w:ilvl w:val="0"/>
                <w:numId w:val="9"/>
              </w:numPr>
            </w:pPr>
            <w:r>
              <w:t xml:space="preserve">Legemiddelhåndboken, akutt myelogen leukemi (hentet 06.10.2020). Tilgjengelig fra: https://legehandboka.no/handboken/kliniskekapitler/blod/tilstander-og-sykdommer/leukemier/akutt-myelogen-leukemi/ </w:t>
            </w:r>
          </w:p>
          <w:p w14:paraId="19963E59" w14:textId="5EF3CB23" w:rsidR="003E11D8" w:rsidRDefault="00A828EC" w:rsidP="002B1201">
            <w:pPr>
              <w:pStyle w:val="ListParagraph"/>
              <w:numPr>
                <w:ilvl w:val="0"/>
                <w:numId w:val="9"/>
              </w:numPr>
            </w:pPr>
            <w:r>
              <w:t xml:space="preserve">Nasjonalt handlingsprogram med retningslinjer for diagnostikk, behandling og oppfølging av maligne blodsykdommer, Helsedirektoratet (oppdatert 31.januar 2019) (hentet 06.10.2020). Tilgjengelig fra: </w:t>
            </w:r>
            <w:hyperlink r:id="rId12" w:history="1">
              <w:r w:rsidR="002D6714" w:rsidRPr="007838D2">
                <w:rPr>
                  <w:rStyle w:val="Hyperlink"/>
                </w:rPr>
                <w:t>https://www.helsedirektoratet.no/tema/kreft/maligne-blodsykdommer</w:t>
              </w:r>
            </w:hyperlink>
          </w:p>
          <w:p w14:paraId="6C2F90E8" w14:textId="196BAF8E" w:rsidR="00A23BD9" w:rsidRPr="00495AF7" w:rsidRDefault="00A23BD9" w:rsidP="00495AF7">
            <w:pPr>
              <w:pStyle w:val="ListParagraph"/>
              <w:numPr>
                <w:ilvl w:val="0"/>
                <w:numId w:val="9"/>
              </w:numPr>
              <w:rPr>
                <w:lang w:val="en-GB"/>
              </w:rPr>
            </w:pPr>
            <w:r w:rsidRPr="00495AF7">
              <w:rPr>
                <w:lang w:val="en-US"/>
              </w:rPr>
              <w:t xml:space="preserve">Wei et al. Oral </w:t>
            </w:r>
            <w:proofErr w:type="spellStart"/>
            <w:r w:rsidRPr="00495AF7">
              <w:rPr>
                <w:lang w:val="en-US"/>
              </w:rPr>
              <w:t>Azacitidine</w:t>
            </w:r>
            <w:proofErr w:type="spellEnd"/>
            <w:r w:rsidRPr="00495AF7">
              <w:rPr>
                <w:lang w:val="en-US"/>
              </w:rPr>
              <w:t xml:space="preserve"> Maintenance for Patients with Acute Myeloid Leukemia in First Remission. N </w:t>
            </w:r>
            <w:proofErr w:type="spellStart"/>
            <w:r w:rsidRPr="00495AF7">
              <w:rPr>
                <w:lang w:val="en-US"/>
              </w:rPr>
              <w:t>Engl</w:t>
            </w:r>
            <w:proofErr w:type="spellEnd"/>
            <w:r w:rsidRPr="00495AF7">
              <w:rPr>
                <w:lang w:val="en-US"/>
              </w:rPr>
              <w:t xml:space="preserve"> J Med. 2020</w:t>
            </w:r>
            <w:r w:rsidRPr="00495AF7">
              <w:rPr>
                <w:lang w:val="en-GB"/>
              </w:rPr>
              <w:t>; 383:2526-2537.</w:t>
            </w:r>
          </w:p>
          <w:p w14:paraId="31C3211C" w14:textId="798BD5F7" w:rsidR="00D53539" w:rsidRDefault="00A23BD9" w:rsidP="00495AF7">
            <w:pPr>
              <w:pStyle w:val="ListParagraph"/>
              <w:numPr>
                <w:ilvl w:val="0"/>
                <w:numId w:val="9"/>
              </w:numPr>
            </w:pPr>
            <w:r w:rsidRPr="00495AF7">
              <w:rPr>
                <w:lang w:val="da-DK"/>
              </w:rPr>
              <w:t>Wei AH, et al. Oral Azacitidine (Oral-AZA) in Patients with Acute Myeloid Leukemia (AML) in First Remission after Intensive Chemotherapy (IC): Long-Term Overall Survival (OS) Results from the Phase 3 QUAZAR AML-001-Trial. Journal of Oncology Navigation &amp; Survivorship. Nov2022, Vol.13 Issue 11, p378-386.</w:t>
            </w:r>
          </w:p>
        </w:tc>
      </w:tr>
    </w:tbl>
    <w:p w14:paraId="541B1D8A" w14:textId="77777777" w:rsidR="006F6B4F" w:rsidRDefault="006F6B4F" w:rsidP="003E11D8"/>
    <w:tbl>
      <w:tblPr>
        <w:tblStyle w:val="TableGrid"/>
        <w:tblW w:w="9067" w:type="dxa"/>
        <w:tblLook w:val="04A0" w:firstRow="1" w:lastRow="0" w:firstColumn="1" w:lastColumn="0" w:noHBand="0" w:noVBand="1"/>
      </w:tblPr>
      <w:tblGrid>
        <w:gridCol w:w="9067"/>
      </w:tblGrid>
      <w:tr w:rsidR="003E11D8" w14:paraId="3BDD2454" w14:textId="77777777" w:rsidTr="007F39C3">
        <w:tc>
          <w:tcPr>
            <w:tcW w:w="9067" w:type="dxa"/>
          </w:tcPr>
          <w:p w14:paraId="1797F6A0" w14:textId="5DB19A71" w:rsidR="003E11D8" w:rsidRPr="00821413" w:rsidRDefault="00B17578" w:rsidP="00E10066">
            <w:pPr>
              <w:rPr>
                <w:rFonts w:asciiTheme="majorHAnsi" w:eastAsiaTheme="majorEastAsia" w:hAnsiTheme="majorHAnsi" w:cstheme="majorBidi"/>
                <w:b/>
                <w:bCs/>
              </w:rPr>
            </w:pPr>
            <w:r>
              <w:rPr>
                <w:rFonts w:asciiTheme="majorHAnsi" w:eastAsiaTheme="majorEastAsia" w:hAnsiTheme="majorHAnsi" w:cstheme="majorBidi"/>
                <w:b/>
                <w:bCs/>
              </w:rPr>
              <w:t>11</w:t>
            </w:r>
            <w:r w:rsidR="00702941">
              <w:rPr>
                <w:rFonts w:asciiTheme="majorHAnsi" w:eastAsiaTheme="majorEastAsia" w:hAnsiTheme="majorHAnsi" w:cstheme="majorBidi"/>
                <w:b/>
                <w:bCs/>
              </w:rPr>
              <w:t xml:space="preserve">. </w:t>
            </w:r>
            <w:r w:rsidR="003E11D8" w:rsidRPr="001143A3">
              <w:rPr>
                <w:rFonts w:asciiTheme="majorHAnsi" w:eastAsiaTheme="majorEastAsia" w:hAnsiTheme="majorHAnsi" w:cstheme="majorBidi"/>
                <w:b/>
                <w:bCs/>
              </w:rPr>
              <w:t xml:space="preserve"> Interesser og eventuelle interessekonflikter</w:t>
            </w:r>
            <w:r w:rsidR="003E11D8">
              <w:br/>
            </w:r>
            <w:r w:rsidR="003E11D8" w:rsidRPr="005805DE">
              <w:t xml:space="preserve">Beskriv dine relasjoner eller aktiviteter som kan påvirke, påvirkes av eller oppfattes av andre å ha betydning for den videre håndteringen av metoden som </w:t>
            </w:r>
            <w:r w:rsidR="00E10066">
              <w:t>det gis innspill på</w:t>
            </w:r>
            <w:r w:rsidR="003E11D8" w:rsidRPr="005805DE">
              <w:t xml:space="preserve"> (</w:t>
            </w:r>
            <w:r w:rsidR="00E10066">
              <w:t>f</w:t>
            </w:r>
            <w:r w:rsidR="009C40CB">
              <w:t>or e</w:t>
            </w:r>
            <w:r w:rsidR="003E11D8" w:rsidRPr="005805DE">
              <w:t>ksemp</w:t>
            </w:r>
            <w:r w:rsidR="009C40CB">
              <w:t>el</w:t>
            </w:r>
            <w:r w:rsidR="003E11D8" w:rsidRPr="005805DE">
              <w:t>: økonomiske interesser i saken</w:t>
            </w:r>
            <w:r w:rsidR="009C40CB">
              <w:t>, oppdrag eller andre bindinger</w:t>
            </w:r>
            <w:r w:rsidR="003E11D8" w:rsidRPr="005805DE">
              <w:t>)</w:t>
            </w:r>
            <w:r w:rsidR="00E10066">
              <w:t>.</w:t>
            </w:r>
          </w:p>
        </w:tc>
      </w:tr>
      <w:tr w:rsidR="003E11D8" w14:paraId="589DDAB5" w14:textId="77777777" w:rsidTr="008116C7">
        <w:trPr>
          <w:trHeight w:val="763"/>
        </w:trPr>
        <w:tc>
          <w:tcPr>
            <w:tcW w:w="9067" w:type="dxa"/>
          </w:tcPr>
          <w:p w14:paraId="760A7129" w14:textId="77777777" w:rsidR="003E11D8" w:rsidRDefault="003E11D8" w:rsidP="0086697D">
            <w:r>
              <w:t>Beskriv kortfattet:</w:t>
            </w:r>
          </w:p>
          <w:p w14:paraId="2DC779F1" w14:textId="3214A2AC" w:rsidR="00642313" w:rsidRDefault="00532CDC" w:rsidP="0086697D">
            <w:r>
              <w:t>Ansatt i Bristol Myers Squibb</w:t>
            </w:r>
          </w:p>
        </w:tc>
      </w:tr>
    </w:tbl>
    <w:p w14:paraId="3D91699A" w14:textId="77777777" w:rsidR="00D1082E" w:rsidRDefault="00D1082E" w:rsidP="008116C7"/>
    <w:sectPr w:rsidR="00D1082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7E78" w14:textId="77777777" w:rsidR="00D83610" w:rsidRDefault="00D83610" w:rsidP="00CB7C65">
      <w:pPr>
        <w:spacing w:after="0" w:line="240" w:lineRule="auto"/>
      </w:pPr>
      <w:r>
        <w:separator/>
      </w:r>
    </w:p>
  </w:endnote>
  <w:endnote w:type="continuationSeparator" w:id="0">
    <w:p w14:paraId="4748F0D2" w14:textId="77777777" w:rsidR="00D83610" w:rsidRDefault="00D83610" w:rsidP="00CB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6210"/>
      <w:docPartObj>
        <w:docPartGallery w:val="Page Numbers (Bottom of Page)"/>
        <w:docPartUnique/>
      </w:docPartObj>
    </w:sdtPr>
    <w:sdtEndPr/>
    <w:sdtContent>
      <w:sdt>
        <w:sdtPr>
          <w:id w:val="-1669238322"/>
          <w:docPartObj>
            <w:docPartGallery w:val="Page Numbers (Top of Page)"/>
            <w:docPartUnique/>
          </w:docPartObj>
        </w:sdtPr>
        <w:sdtEndPr/>
        <w:sdtContent>
          <w:p w14:paraId="016403AC" w14:textId="0F136606" w:rsidR="003E11D8" w:rsidRDefault="003E11D8">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6D3711">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D3711">
              <w:rPr>
                <w:b/>
                <w:bCs/>
                <w:noProof/>
              </w:rPr>
              <w:t>3</w:t>
            </w:r>
            <w:r>
              <w:rPr>
                <w:b/>
                <w:bCs/>
                <w:sz w:val="24"/>
                <w:szCs w:val="24"/>
              </w:rPr>
              <w:fldChar w:fldCharType="end"/>
            </w:r>
          </w:p>
        </w:sdtContent>
      </w:sdt>
    </w:sdtContent>
  </w:sdt>
  <w:p w14:paraId="74ED8CD6" w14:textId="77777777" w:rsidR="003E11D8" w:rsidRDefault="003E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4B66" w14:textId="77777777" w:rsidR="00D83610" w:rsidRDefault="00D83610" w:rsidP="00CB7C65">
      <w:pPr>
        <w:spacing w:after="0" w:line="240" w:lineRule="auto"/>
      </w:pPr>
      <w:r>
        <w:separator/>
      </w:r>
    </w:p>
  </w:footnote>
  <w:footnote w:type="continuationSeparator" w:id="0">
    <w:p w14:paraId="29C4692D" w14:textId="77777777" w:rsidR="00D83610" w:rsidRDefault="00D83610" w:rsidP="00CB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4F3C" w14:textId="6EF503FE" w:rsidR="00CB7C65" w:rsidRDefault="004C0E4A">
    <w:pPr>
      <w:pStyle w:val="Header"/>
    </w:pPr>
    <w:r w:rsidRPr="004C0E4A">
      <w:rPr>
        <w:noProof/>
        <w:lang w:eastAsia="nb-NO"/>
      </w:rPr>
      <w:drawing>
        <wp:inline distT="0" distB="0" distL="0" distR="0" wp14:anchorId="072B9136" wp14:editId="2D6E794B">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C81243">
      <w:tab/>
    </w:r>
    <w:r w:rsidR="00C81243">
      <w:tab/>
      <w:t>v. 1.0 – 21.02.2020</w:t>
    </w:r>
  </w:p>
  <w:p w14:paraId="3CD38C23" w14:textId="77777777" w:rsidR="00CB7C65" w:rsidRDefault="00CB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7E"/>
    <w:multiLevelType w:val="hybridMultilevel"/>
    <w:tmpl w:val="A3626F8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42154"/>
    <w:multiLevelType w:val="hybridMultilevel"/>
    <w:tmpl w:val="983C9DC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B52471"/>
    <w:multiLevelType w:val="hybridMultilevel"/>
    <w:tmpl w:val="DF9C08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C017984"/>
    <w:multiLevelType w:val="hybridMultilevel"/>
    <w:tmpl w:val="231C692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D4630C7"/>
    <w:multiLevelType w:val="hybridMultilevel"/>
    <w:tmpl w:val="4ACA8A5A"/>
    <w:lvl w:ilvl="0" w:tplc="F2D458BA">
      <w:start w:val="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0" w15:restartNumberingAfterBreak="0">
    <w:nsid w:val="6C471CB3"/>
    <w:multiLevelType w:val="hybridMultilevel"/>
    <w:tmpl w:val="764CAB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745A038C"/>
    <w:multiLevelType w:val="hybridMultilevel"/>
    <w:tmpl w:val="B37C0D18"/>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1">
      <w:start w:val="1"/>
      <w:numFmt w:val="bullet"/>
      <w:lvlText w:val=""/>
      <w:lvlJc w:val="left"/>
      <w:pPr>
        <w:ind w:left="2520" w:hanging="360"/>
      </w:pPr>
      <w:rPr>
        <w:rFonts w:ascii="Symbol" w:hAnsi="Symbol" w:hint="default"/>
      </w:r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C4B2EB6"/>
    <w:multiLevelType w:val="hybridMultilevel"/>
    <w:tmpl w:val="DD1624EA"/>
    <w:lvl w:ilvl="0" w:tplc="686099E2">
      <w:start w:val="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1"/>
  </w:num>
  <w:num w:numId="6">
    <w:abstractNumId w:val="9"/>
  </w:num>
  <w:num w:numId="7">
    <w:abstractNumId w:val="12"/>
  </w:num>
  <w:num w:numId="8">
    <w:abstractNumId w:val="8"/>
  </w:num>
  <w:num w:numId="9">
    <w:abstractNumId w:val="0"/>
  </w:num>
  <w:num w:numId="10">
    <w:abstractNumId w:val="7"/>
  </w:num>
  <w:num w:numId="11">
    <w:abstractNumId w:val="11"/>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5"/>
    <w:rsid w:val="00007E64"/>
    <w:rsid w:val="00022462"/>
    <w:rsid w:val="0003474E"/>
    <w:rsid w:val="00044C33"/>
    <w:rsid w:val="00045D80"/>
    <w:rsid w:val="00046582"/>
    <w:rsid w:val="00050590"/>
    <w:rsid w:val="00057B3D"/>
    <w:rsid w:val="00073B6F"/>
    <w:rsid w:val="00076738"/>
    <w:rsid w:val="000B172D"/>
    <w:rsid w:val="000B50DC"/>
    <w:rsid w:val="000C3310"/>
    <w:rsid w:val="000D763C"/>
    <w:rsid w:val="000E19CC"/>
    <w:rsid w:val="001051CF"/>
    <w:rsid w:val="001143A3"/>
    <w:rsid w:val="00115576"/>
    <w:rsid w:val="0013022A"/>
    <w:rsid w:val="001342B6"/>
    <w:rsid w:val="00137129"/>
    <w:rsid w:val="001478F3"/>
    <w:rsid w:val="001675C5"/>
    <w:rsid w:val="00176708"/>
    <w:rsid w:val="001778FE"/>
    <w:rsid w:val="001959E5"/>
    <w:rsid w:val="00197820"/>
    <w:rsid w:val="001A38B7"/>
    <w:rsid w:val="001B1AF1"/>
    <w:rsid w:val="001D4B32"/>
    <w:rsid w:val="001E1296"/>
    <w:rsid w:val="001E4A98"/>
    <w:rsid w:val="00212098"/>
    <w:rsid w:val="00222BAD"/>
    <w:rsid w:val="00227897"/>
    <w:rsid w:val="0025054C"/>
    <w:rsid w:val="00251BCD"/>
    <w:rsid w:val="00264594"/>
    <w:rsid w:val="00267B27"/>
    <w:rsid w:val="002879D8"/>
    <w:rsid w:val="002A15B5"/>
    <w:rsid w:val="002B1201"/>
    <w:rsid w:val="002B3123"/>
    <w:rsid w:val="002C7275"/>
    <w:rsid w:val="002D6714"/>
    <w:rsid w:val="002E4930"/>
    <w:rsid w:val="002E567B"/>
    <w:rsid w:val="0030160C"/>
    <w:rsid w:val="00301B56"/>
    <w:rsid w:val="00333470"/>
    <w:rsid w:val="0035417C"/>
    <w:rsid w:val="00380B5D"/>
    <w:rsid w:val="0038658A"/>
    <w:rsid w:val="0039159E"/>
    <w:rsid w:val="003A1FB4"/>
    <w:rsid w:val="003A2A82"/>
    <w:rsid w:val="003B56DC"/>
    <w:rsid w:val="003E11D8"/>
    <w:rsid w:val="004038E4"/>
    <w:rsid w:val="00426A30"/>
    <w:rsid w:val="004358CA"/>
    <w:rsid w:val="0043681F"/>
    <w:rsid w:val="00444F95"/>
    <w:rsid w:val="004538A4"/>
    <w:rsid w:val="0046741E"/>
    <w:rsid w:val="00470B2E"/>
    <w:rsid w:val="00475048"/>
    <w:rsid w:val="00482261"/>
    <w:rsid w:val="00482A88"/>
    <w:rsid w:val="00495AF7"/>
    <w:rsid w:val="004A0F77"/>
    <w:rsid w:val="004B2DAD"/>
    <w:rsid w:val="004B303D"/>
    <w:rsid w:val="004B45BA"/>
    <w:rsid w:val="004C0E4A"/>
    <w:rsid w:val="004C5BF6"/>
    <w:rsid w:val="004D5DC9"/>
    <w:rsid w:val="005079D3"/>
    <w:rsid w:val="00530EF2"/>
    <w:rsid w:val="00532CDC"/>
    <w:rsid w:val="00576257"/>
    <w:rsid w:val="00577C0C"/>
    <w:rsid w:val="00587FC0"/>
    <w:rsid w:val="005932FB"/>
    <w:rsid w:val="005C1F77"/>
    <w:rsid w:val="005E20B6"/>
    <w:rsid w:val="005F073A"/>
    <w:rsid w:val="00606E48"/>
    <w:rsid w:val="00613E30"/>
    <w:rsid w:val="00621A74"/>
    <w:rsid w:val="00622E88"/>
    <w:rsid w:val="006337C1"/>
    <w:rsid w:val="00640551"/>
    <w:rsid w:val="00642313"/>
    <w:rsid w:val="00643E8D"/>
    <w:rsid w:val="00651108"/>
    <w:rsid w:val="0065595D"/>
    <w:rsid w:val="00655C57"/>
    <w:rsid w:val="00663E14"/>
    <w:rsid w:val="00666142"/>
    <w:rsid w:val="006670C7"/>
    <w:rsid w:val="00667E70"/>
    <w:rsid w:val="00675C21"/>
    <w:rsid w:val="00676952"/>
    <w:rsid w:val="006A0786"/>
    <w:rsid w:val="006A325A"/>
    <w:rsid w:val="006B422B"/>
    <w:rsid w:val="006D3711"/>
    <w:rsid w:val="006F6B4F"/>
    <w:rsid w:val="00702941"/>
    <w:rsid w:val="00703482"/>
    <w:rsid w:val="00703986"/>
    <w:rsid w:val="00722C1B"/>
    <w:rsid w:val="00732F57"/>
    <w:rsid w:val="00756189"/>
    <w:rsid w:val="007708BC"/>
    <w:rsid w:val="00781598"/>
    <w:rsid w:val="00794E76"/>
    <w:rsid w:val="007A1C5D"/>
    <w:rsid w:val="007A4A9A"/>
    <w:rsid w:val="007A4CA0"/>
    <w:rsid w:val="007D1C4D"/>
    <w:rsid w:val="007F39C3"/>
    <w:rsid w:val="008104EC"/>
    <w:rsid w:val="00810846"/>
    <w:rsid w:val="008116C7"/>
    <w:rsid w:val="00812FDD"/>
    <w:rsid w:val="00815484"/>
    <w:rsid w:val="00817582"/>
    <w:rsid w:val="00821413"/>
    <w:rsid w:val="00860C9E"/>
    <w:rsid w:val="008639F1"/>
    <w:rsid w:val="0086649D"/>
    <w:rsid w:val="00867818"/>
    <w:rsid w:val="00873CBB"/>
    <w:rsid w:val="00882461"/>
    <w:rsid w:val="00885EFB"/>
    <w:rsid w:val="008B4F91"/>
    <w:rsid w:val="008B6D2F"/>
    <w:rsid w:val="008C4F86"/>
    <w:rsid w:val="008D2E70"/>
    <w:rsid w:val="008D79DA"/>
    <w:rsid w:val="008E2A4A"/>
    <w:rsid w:val="009103DC"/>
    <w:rsid w:val="0091218A"/>
    <w:rsid w:val="00913012"/>
    <w:rsid w:val="009420F6"/>
    <w:rsid w:val="009520F3"/>
    <w:rsid w:val="00954523"/>
    <w:rsid w:val="00955918"/>
    <w:rsid w:val="00982939"/>
    <w:rsid w:val="00987F5C"/>
    <w:rsid w:val="009A2711"/>
    <w:rsid w:val="009B6C34"/>
    <w:rsid w:val="009C220B"/>
    <w:rsid w:val="009C40CB"/>
    <w:rsid w:val="009E52DE"/>
    <w:rsid w:val="00A04572"/>
    <w:rsid w:val="00A11314"/>
    <w:rsid w:val="00A132A8"/>
    <w:rsid w:val="00A13476"/>
    <w:rsid w:val="00A2047C"/>
    <w:rsid w:val="00A238FC"/>
    <w:rsid w:val="00A23BD9"/>
    <w:rsid w:val="00A2476C"/>
    <w:rsid w:val="00A25897"/>
    <w:rsid w:val="00A44B88"/>
    <w:rsid w:val="00A617B5"/>
    <w:rsid w:val="00A64189"/>
    <w:rsid w:val="00A724DD"/>
    <w:rsid w:val="00A80292"/>
    <w:rsid w:val="00A828EC"/>
    <w:rsid w:val="00A846A8"/>
    <w:rsid w:val="00A92692"/>
    <w:rsid w:val="00AA06AF"/>
    <w:rsid w:val="00AA1820"/>
    <w:rsid w:val="00AA40D5"/>
    <w:rsid w:val="00AA694E"/>
    <w:rsid w:val="00AB1AD6"/>
    <w:rsid w:val="00AB21B9"/>
    <w:rsid w:val="00AB664F"/>
    <w:rsid w:val="00AC59A1"/>
    <w:rsid w:val="00AE58D8"/>
    <w:rsid w:val="00AF4250"/>
    <w:rsid w:val="00AF4498"/>
    <w:rsid w:val="00B12B1D"/>
    <w:rsid w:val="00B17578"/>
    <w:rsid w:val="00B4350F"/>
    <w:rsid w:val="00B55123"/>
    <w:rsid w:val="00B566F2"/>
    <w:rsid w:val="00B61DE5"/>
    <w:rsid w:val="00B62381"/>
    <w:rsid w:val="00B7394A"/>
    <w:rsid w:val="00B86A6E"/>
    <w:rsid w:val="00B86B26"/>
    <w:rsid w:val="00B96855"/>
    <w:rsid w:val="00B97688"/>
    <w:rsid w:val="00BA5095"/>
    <w:rsid w:val="00BB4A81"/>
    <w:rsid w:val="00BE5BAC"/>
    <w:rsid w:val="00BE6C56"/>
    <w:rsid w:val="00C04FCC"/>
    <w:rsid w:val="00C354DD"/>
    <w:rsid w:val="00C42A08"/>
    <w:rsid w:val="00C61ECA"/>
    <w:rsid w:val="00C63000"/>
    <w:rsid w:val="00C70E94"/>
    <w:rsid w:val="00C745AD"/>
    <w:rsid w:val="00C75826"/>
    <w:rsid w:val="00C81243"/>
    <w:rsid w:val="00C82E02"/>
    <w:rsid w:val="00CB746B"/>
    <w:rsid w:val="00CB7C65"/>
    <w:rsid w:val="00CC716C"/>
    <w:rsid w:val="00CD2DDE"/>
    <w:rsid w:val="00CE205A"/>
    <w:rsid w:val="00D1082E"/>
    <w:rsid w:val="00D33FFD"/>
    <w:rsid w:val="00D5164B"/>
    <w:rsid w:val="00D53539"/>
    <w:rsid w:val="00D82797"/>
    <w:rsid w:val="00D83610"/>
    <w:rsid w:val="00DA2091"/>
    <w:rsid w:val="00DB5230"/>
    <w:rsid w:val="00DC2673"/>
    <w:rsid w:val="00DD399A"/>
    <w:rsid w:val="00DE076A"/>
    <w:rsid w:val="00DE603F"/>
    <w:rsid w:val="00E02063"/>
    <w:rsid w:val="00E10066"/>
    <w:rsid w:val="00E13DAE"/>
    <w:rsid w:val="00E41B2F"/>
    <w:rsid w:val="00E44118"/>
    <w:rsid w:val="00E725CC"/>
    <w:rsid w:val="00E7508E"/>
    <w:rsid w:val="00E80C6A"/>
    <w:rsid w:val="00E83A05"/>
    <w:rsid w:val="00E93F42"/>
    <w:rsid w:val="00E96A90"/>
    <w:rsid w:val="00EB2D19"/>
    <w:rsid w:val="00ED3D49"/>
    <w:rsid w:val="00EE5CD3"/>
    <w:rsid w:val="00EF2741"/>
    <w:rsid w:val="00F4468B"/>
    <w:rsid w:val="00F47AE9"/>
    <w:rsid w:val="00F7225D"/>
    <w:rsid w:val="00F77BDE"/>
    <w:rsid w:val="00F93082"/>
    <w:rsid w:val="00FA2182"/>
    <w:rsid w:val="00FB10F3"/>
    <w:rsid w:val="00FF0A2B"/>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2DF9"/>
  <w15:docId w15:val="{A10C1ADE-F395-4190-BBA4-7576603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8"/>
  </w:style>
  <w:style w:type="paragraph" w:styleId="Heading1">
    <w:name w:val="heading 1"/>
    <w:basedOn w:val="Normal"/>
    <w:next w:val="Normal"/>
    <w:link w:val="Heading1Char"/>
    <w:uiPriority w:val="9"/>
    <w:qFormat/>
    <w:rsid w:val="003E1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E1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1Char">
    <w:name w:val="Heading 1 Char"/>
    <w:basedOn w:val="DefaultParagraphFont"/>
    <w:link w:val="Heading1"/>
    <w:uiPriority w:val="9"/>
    <w:rsid w:val="003E11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E11D8"/>
    <w:rPr>
      <w:rFonts w:asciiTheme="majorHAnsi" w:eastAsiaTheme="majorEastAsia" w:hAnsiTheme="majorHAnsi" w:cstheme="majorBidi"/>
      <w:b/>
      <w:bCs/>
      <w:color w:val="4F81BD" w:themeColor="accent1"/>
    </w:rPr>
  </w:style>
  <w:style w:type="table" w:styleId="TableGrid">
    <w:name w:val="Table Grid"/>
    <w:basedOn w:val="TableNormal"/>
    <w:uiPriority w:val="59"/>
    <w:rsid w:val="003E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1D8"/>
    <w:rPr>
      <w:strike w:val="0"/>
      <w:dstrike w:val="0"/>
      <w:color w:val="428BCA"/>
      <w:u w:val="none"/>
      <w:effect w:val="none"/>
    </w:rPr>
  </w:style>
  <w:style w:type="character" w:styleId="CommentReference">
    <w:name w:val="annotation reference"/>
    <w:basedOn w:val="DefaultParagraphFont"/>
    <w:uiPriority w:val="99"/>
    <w:semiHidden/>
    <w:unhideWhenUsed/>
    <w:rsid w:val="009C40CB"/>
    <w:rPr>
      <w:sz w:val="16"/>
      <w:szCs w:val="16"/>
    </w:rPr>
  </w:style>
  <w:style w:type="paragraph" w:styleId="CommentText">
    <w:name w:val="annotation text"/>
    <w:basedOn w:val="Normal"/>
    <w:link w:val="CommentTextChar"/>
    <w:uiPriority w:val="99"/>
    <w:semiHidden/>
    <w:unhideWhenUsed/>
    <w:rsid w:val="009C40CB"/>
    <w:pPr>
      <w:spacing w:line="240" w:lineRule="auto"/>
    </w:pPr>
    <w:rPr>
      <w:sz w:val="20"/>
      <w:szCs w:val="20"/>
    </w:rPr>
  </w:style>
  <w:style w:type="character" w:customStyle="1" w:styleId="CommentTextChar">
    <w:name w:val="Comment Text Char"/>
    <w:basedOn w:val="DefaultParagraphFont"/>
    <w:link w:val="CommentText"/>
    <w:uiPriority w:val="99"/>
    <w:semiHidden/>
    <w:rsid w:val="009C40CB"/>
    <w:rPr>
      <w:sz w:val="20"/>
      <w:szCs w:val="20"/>
    </w:rPr>
  </w:style>
  <w:style w:type="paragraph" w:styleId="CommentSubject">
    <w:name w:val="annotation subject"/>
    <w:basedOn w:val="CommentText"/>
    <w:next w:val="CommentText"/>
    <w:link w:val="CommentSubjectChar"/>
    <w:uiPriority w:val="99"/>
    <w:semiHidden/>
    <w:unhideWhenUsed/>
    <w:rsid w:val="009C40CB"/>
    <w:rPr>
      <w:b/>
      <w:bCs/>
    </w:rPr>
  </w:style>
  <w:style w:type="character" w:customStyle="1" w:styleId="CommentSubjectChar">
    <w:name w:val="Comment Subject Char"/>
    <w:basedOn w:val="CommentTextChar"/>
    <w:link w:val="CommentSubject"/>
    <w:uiPriority w:val="99"/>
    <w:semiHidden/>
    <w:rsid w:val="009C40CB"/>
    <w:rPr>
      <w:b/>
      <w:bCs/>
      <w:sz w:val="20"/>
      <w:szCs w:val="20"/>
    </w:rPr>
  </w:style>
  <w:style w:type="paragraph" w:styleId="HTMLPreformatted">
    <w:name w:val="HTML Preformatted"/>
    <w:basedOn w:val="Normal"/>
    <w:link w:val="HTMLPreformattedChar"/>
    <w:uiPriority w:val="99"/>
    <w:semiHidden/>
    <w:unhideWhenUsed/>
    <w:rsid w:val="0016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1675C5"/>
    <w:rPr>
      <w:rFonts w:ascii="Courier New" w:eastAsia="Times New Roman" w:hAnsi="Courier New" w:cs="Courier New"/>
      <w:sz w:val="20"/>
      <w:szCs w:val="20"/>
      <w:lang w:eastAsia="nb-NO"/>
    </w:rPr>
  </w:style>
  <w:style w:type="character" w:customStyle="1" w:styleId="y2iqfc">
    <w:name w:val="y2iqfc"/>
    <w:basedOn w:val="DefaultParagraphFont"/>
    <w:rsid w:val="001675C5"/>
  </w:style>
  <w:style w:type="paragraph" w:styleId="NormalWeb">
    <w:name w:val="Normal (Web)"/>
    <w:basedOn w:val="Normal"/>
    <w:uiPriority w:val="99"/>
    <w:semiHidden/>
    <w:unhideWhenUsed/>
    <w:rsid w:val="00655C5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2D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13975">
      <w:bodyDiv w:val="1"/>
      <w:marLeft w:val="0"/>
      <w:marRight w:val="0"/>
      <w:marTop w:val="0"/>
      <w:marBottom w:val="0"/>
      <w:divBdr>
        <w:top w:val="none" w:sz="0" w:space="0" w:color="auto"/>
        <w:left w:val="none" w:sz="0" w:space="0" w:color="auto"/>
        <w:bottom w:val="none" w:sz="0" w:space="0" w:color="auto"/>
        <w:right w:val="none" w:sz="0" w:space="0" w:color="auto"/>
      </w:divBdr>
    </w:div>
    <w:div w:id="981076527">
      <w:bodyDiv w:val="1"/>
      <w:marLeft w:val="0"/>
      <w:marRight w:val="0"/>
      <w:marTop w:val="0"/>
      <w:marBottom w:val="0"/>
      <w:divBdr>
        <w:top w:val="none" w:sz="0" w:space="0" w:color="auto"/>
        <w:left w:val="none" w:sz="0" w:space="0" w:color="auto"/>
        <w:bottom w:val="none" w:sz="0" w:space="0" w:color="auto"/>
        <w:right w:val="none" w:sz="0" w:space="0" w:color="auto"/>
      </w:divBdr>
    </w:div>
    <w:div w:id="1251813801">
      <w:bodyDiv w:val="1"/>
      <w:marLeft w:val="0"/>
      <w:marRight w:val="0"/>
      <w:marTop w:val="0"/>
      <w:marBottom w:val="0"/>
      <w:divBdr>
        <w:top w:val="none" w:sz="0" w:space="0" w:color="auto"/>
        <w:left w:val="none" w:sz="0" w:space="0" w:color="auto"/>
        <w:bottom w:val="none" w:sz="0" w:space="0" w:color="auto"/>
        <w:right w:val="none" w:sz="0" w:space="0" w:color="auto"/>
      </w:divBdr>
    </w:div>
    <w:div w:id="1351762402">
      <w:bodyDiv w:val="1"/>
      <w:marLeft w:val="0"/>
      <w:marRight w:val="0"/>
      <w:marTop w:val="0"/>
      <w:marBottom w:val="0"/>
      <w:divBdr>
        <w:top w:val="none" w:sz="0" w:space="0" w:color="auto"/>
        <w:left w:val="none" w:sz="0" w:space="0" w:color="auto"/>
        <w:bottom w:val="none" w:sz="0" w:space="0" w:color="auto"/>
        <w:right w:val="none" w:sz="0" w:space="0" w:color="auto"/>
      </w:divBdr>
    </w:div>
    <w:div w:id="1642466447">
      <w:bodyDiv w:val="1"/>
      <w:marLeft w:val="0"/>
      <w:marRight w:val="0"/>
      <w:marTop w:val="0"/>
      <w:marBottom w:val="0"/>
      <w:divBdr>
        <w:top w:val="none" w:sz="0" w:space="0" w:color="auto"/>
        <w:left w:val="none" w:sz="0" w:space="0" w:color="auto"/>
        <w:bottom w:val="none" w:sz="0" w:space="0" w:color="auto"/>
        <w:right w:val="none" w:sz="0" w:space="0" w:color="auto"/>
      </w:divBdr>
    </w:div>
    <w:div w:id="1991472498">
      <w:bodyDiv w:val="1"/>
      <w:marLeft w:val="0"/>
      <w:marRight w:val="0"/>
      <w:marTop w:val="0"/>
      <w:marBottom w:val="0"/>
      <w:divBdr>
        <w:top w:val="none" w:sz="0" w:space="0" w:color="auto"/>
        <w:left w:val="none" w:sz="0" w:space="0" w:color="auto"/>
        <w:bottom w:val="none" w:sz="0" w:space="0" w:color="auto"/>
        <w:right w:val="none" w:sz="0" w:space="0" w:color="auto"/>
      </w:divBdr>
    </w:div>
    <w:div w:id="20312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direktoratet.no/tema/kreft/maligne-blodsykdomm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yemetoder@helse-sorost.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139C-6228-4732-A115-7A0E88CD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620BF-17D6-4000-AEE7-805D3CC1369B}">
  <ds:schemaRefs>
    <ds:schemaRef ds:uri="http://schemas.microsoft.com/sharepoint/v3/contenttype/forms"/>
  </ds:schemaRefs>
</ds:datastoreItem>
</file>

<file path=customXml/itemProps3.xml><?xml version="1.0" encoding="utf-8"?>
<ds:datastoreItem xmlns:ds="http://schemas.openxmlformats.org/officeDocument/2006/customXml" ds:itemID="{AA358C23-B55C-4406-9F54-0BF92E8F5F1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6937FE-FE11-441F-9C57-2CCA7940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1763</Words>
  <Characters>9346</Characters>
  <Application>Microsoft Office Word</Application>
  <DocSecurity>0</DocSecurity>
  <Lines>77</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Frostad, Carl</cp:lastModifiedBy>
  <cp:revision>5</cp:revision>
  <cp:lastPrinted>2019-11-28T11:53:00Z</cp:lastPrinted>
  <dcterms:created xsi:type="dcterms:W3CDTF">2022-12-05T13:36:00Z</dcterms:created>
  <dcterms:modified xsi:type="dcterms:W3CDTF">2022-12-05T13:42:00Z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ies>
</file>